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6C56" w14:textId="77777777" w:rsidR="00BC7BE5" w:rsidRDefault="00BC7BE5" w:rsidP="00BC7BE5">
      <w:pPr>
        <w:pStyle w:val="Heading1"/>
        <w:spacing w:before="0" w:after="120"/>
        <w:rPr>
          <w:rFonts w:asciiTheme="majorHAnsi" w:hAnsiTheme="majorHAnsi" w:cstheme="majorHAnsi"/>
        </w:rPr>
      </w:pPr>
      <w:r w:rsidRPr="001E2001">
        <w:rPr>
          <w:rFonts w:asciiTheme="majorHAnsi" w:hAnsiTheme="majorHAnsi" w:cstheme="majorHAnsi"/>
        </w:rPr>
        <w:t>HAFF Crisis and Transitional Accommodation Program</w:t>
      </w:r>
    </w:p>
    <w:p w14:paraId="73C28B81" w14:textId="5E0208D7" w:rsidR="0032204D" w:rsidRDefault="00EB1EF9" w:rsidP="00BC7BE5">
      <w:pPr>
        <w:pStyle w:val="Heading1"/>
        <w:pBdr>
          <w:bottom w:val="single" w:sz="12" w:space="1" w:color="auto"/>
        </w:pBdr>
        <w:spacing w:before="0" w:after="120"/>
        <w:rPr>
          <w:rFonts w:asciiTheme="majorHAnsi" w:hAnsiTheme="majorHAnsi"/>
          <w:iCs/>
          <w:color w:val="000000" w:themeColor="text1"/>
          <w:sz w:val="30"/>
          <w:szCs w:val="24"/>
        </w:rPr>
      </w:pPr>
      <w:r>
        <w:rPr>
          <w:rFonts w:asciiTheme="majorHAnsi" w:hAnsiTheme="majorHAnsi"/>
          <w:iCs/>
          <w:color w:val="000000" w:themeColor="text1"/>
          <w:sz w:val="30"/>
          <w:szCs w:val="24"/>
        </w:rPr>
        <w:t>Feedback for applicants</w:t>
      </w:r>
    </w:p>
    <w:p w14:paraId="096EBF50" w14:textId="635B8A4C" w:rsidR="0032204D" w:rsidRDefault="007A005B" w:rsidP="0032204D">
      <w:pPr>
        <w:spacing w:before="120" w:after="120"/>
        <w:rPr>
          <w:color w:val="auto"/>
        </w:rPr>
      </w:pPr>
      <w:r w:rsidRPr="00854ACD">
        <w:rPr>
          <w:color w:val="auto"/>
        </w:rPr>
        <w:t xml:space="preserve">The </w:t>
      </w:r>
      <w:r>
        <w:rPr>
          <w:color w:val="auto"/>
        </w:rPr>
        <w:t>Department</w:t>
      </w:r>
      <w:r w:rsidR="005A56F3" w:rsidRPr="005A56F3">
        <w:rPr>
          <w:color w:val="auto"/>
        </w:rPr>
        <w:t xml:space="preserve"> of Social Services</w:t>
      </w:r>
      <w:r w:rsidR="0032204D" w:rsidRPr="00854ACD">
        <w:rPr>
          <w:color w:val="auto"/>
        </w:rPr>
        <w:t xml:space="preserve"> </w:t>
      </w:r>
      <w:r w:rsidR="0032204D">
        <w:rPr>
          <w:color w:val="auto"/>
        </w:rPr>
        <w:t>(the department) has provided the following general f</w:t>
      </w:r>
      <w:r w:rsidR="0032204D" w:rsidRPr="00854ACD">
        <w:rPr>
          <w:color w:val="auto"/>
        </w:rPr>
        <w:t xml:space="preserve">eedback for applicants of </w:t>
      </w:r>
      <w:r w:rsidR="00422C44" w:rsidRPr="00854ACD">
        <w:rPr>
          <w:color w:val="auto"/>
        </w:rPr>
        <w:t xml:space="preserve">the </w:t>
      </w:r>
      <w:r w:rsidR="00422C44">
        <w:rPr>
          <w:color w:val="auto"/>
        </w:rPr>
        <w:t>HAFF</w:t>
      </w:r>
      <w:r w:rsidR="005A56F3" w:rsidRPr="005A56F3">
        <w:rPr>
          <w:color w:val="auto"/>
        </w:rPr>
        <w:t xml:space="preserve"> Crisis and Transitional Accommodation Program</w:t>
      </w:r>
      <w:r w:rsidR="007A7B46">
        <w:rPr>
          <w:color w:val="auto"/>
        </w:rPr>
        <w:t xml:space="preserve"> </w:t>
      </w:r>
      <w:r w:rsidR="0032204D" w:rsidRPr="00854ACD">
        <w:rPr>
          <w:color w:val="auto"/>
        </w:rPr>
        <w:t>grant opportunity.</w:t>
      </w:r>
    </w:p>
    <w:p w14:paraId="78AE25D1" w14:textId="5C51D974" w:rsidR="0032204D" w:rsidRPr="00B26492" w:rsidRDefault="0032204D" w:rsidP="0032204D">
      <w:pPr>
        <w:pStyle w:val="BodyText"/>
      </w:pPr>
      <w:r>
        <w:t xml:space="preserve">Assessment of applications was in accordance </w:t>
      </w:r>
      <w:r w:rsidR="00F001B4">
        <w:t>with</w:t>
      </w:r>
      <w:r>
        <w:t xml:space="preserve"> the procedure detailed in the </w:t>
      </w:r>
      <w:r w:rsidR="00CF6B74">
        <w:t xml:space="preserve">Grant Opportunity Guidelines </w:t>
      </w:r>
      <w:r w:rsidR="00F001B4">
        <w:t>(the guidelines)</w:t>
      </w:r>
      <w:r>
        <w:t xml:space="preserve"> and outlined in the selection process below.</w:t>
      </w:r>
    </w:p>
    <w:p w14:paraId="4BEDC740" w14:textId="77777777" w:rsidR="0032204D" w:rsidRPr="00BD0B44" w:rsidRDefault="0032204D" w:rsidP="00BD0B44">
      <w:pPr>
        <w:pStyle w:val="Heading2"/>
        <w:spacing w:before="120"/>
        <w:rPr>
          <w:color w:val="C00000"/>
          <w:sz w:val="28"/>
          <w:szCs w:val="28"/>
        </w:rPr>
      </w:pPr>
      <w:r w:rsidRPr="00BD0B44">
        <w:rPr>
          <w:color w:val="C00000"/>
          <w:sz w:val="28"/>
          <w:szCs w:val="28"/>
        </w:rPr>
        <w:t>Overview</w:t>
      </w:r>
    </w:p>
    <w:p w14:paraId="2707139B" w14:textId="77777777" w:rsidR="00EB1EF9" w:rsidRDefault="0032204D" w:rsidP="002D36C9">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opened on</w:t>
      </w:r>
      <w:r w:rsidR="00340848">
        <w:rPr>
          <w:color w:val="auto"/>
        </w:rPr>
        <w:t xml:space="preserve"> 2 October 2024</w:t>
      </w:r>
      <w:r w:rsidRPr="00854ACD">
        <w:rPr>
          <w:color w:val="auto"/>
        </w:rPr>
        <w:t xml:space="preserve"> and closed on </w:t>
      </w:r>
      <w:r w:rsidR="00340848">
        <w:rPr>
          <w:color w:val="auto"/>
        </w:rPr>
        <w:t>13 November 2024.</w:t>
      </w:r>
    </w:p>
    <w:p w14:paraId="599C18FB" w14:textId="77777777" w:rsidR="00EB1EF9" w:rsidRDefault="002D36C9" w:rsidP="002D36C9">
      <w:pPr>
        <w:pStyle w:val="BodyText"/>
        <w:spacing w:after="120"/>
        <w:rPr>
          <w:color w:val="auto"/>
        </w:rPr>
      </w:pPr>
      <w:r w:rsidRPr="00B72CC4">
        <w:rPr>
          <w:color w:val="auto"/>
        </w:rPr>
        <w:t xml:space="preserve">The Crisis and Transitional Accommodation Program (CTAP) grant opportunity is part of the Australian Government’s election commitment to direct $100 million of Housing Australia Future Fund (HAFF) disbursements to crisis and transitional housing options for women and children experiencing family and domestic violence (FDV) and older women at risk of homelessness. </w:t>
      </w:r>
    </w:p>
    <w:p w14:paraId="781D04A0" w14:textId="77777777" w:rsidR="00EB1EF9" w:rsidRDefault="002D36C9" w:rsidP="002D36C9">
      <w:pPr>
        <w:pStyle w:val="BodyText"/>
        <w:spacing w:after="120"/>
        <w:rPr>
          <w:color w:val="auto"/>
        </w:rPr>
      </w:pPr>
      <w:r w:rsidRPr="00B72CC4">
        <w:rPr>
          <w:color w:val="auto"/>
        </w:rPr>
        <w:t xml:space="preserve">The department worked with stakeholders to plan and design the grant program according to the </w:t>
      </w:r>
      <w:r w:rsidRPr="00B72CC4">
        <w:rPr>
          <w:i/>
          <w:iCs/>
          <w:color w:val="auto"/>
        </w:rPr>
        <w:t>Commonwealth Grants Rules and Principles 2024</w:t>
      </w:r>
      <w:r w:rsidR="00E36339" w:rsidRPr="00B72CC4">
        <w:rPr>
          <w:i/>
          <w:iCs/>
          <w:color w:val="auto"/>
        </w:rPr>
        <w:t xml:space="preserve"> </w:t>
      </w:r>
      <w:r w:rsidRPr="00B72CC4">
        <w:rPr>
          <w:color w:val="auto"/>
        </w:rPr>
        <w:t>(CGRPs)</w:t>
      </w:r>
      <w:r w:rsidR="00D11B1C" w:rsidRPr="00B72CC4">
        <w:rPr>
          <w:color w:val="auto"/>
        </w:rPr>
        <w:t>, previously the Commonwealth Grant Rules and Guidelines (CGRGs)</w:t>
      </w:r>
      <w:r w:rsidR="00637BBE" w:rsidRPr="00B72CC4">
        <w:rPr>
          <w:color w:val="auto"/>
        </w:rPr>
        <w:t>.</w:t>
      </w:r>
    </w:p>
    <w:p w14:paraId="2A5DCC28" w14:textId="0C4767E3" w:rsidR="002D36C9" w:rsidRPr="00B72CC4" w:rsidRDefault="002D36C9" w:rsidP="002D36C9">
      <w:pPr>
        <w:pStyle w:val="BodyText"/>
        <w:spacing w:after="120"/>
        <w:rPr>
          <w:color w:val="auto"/>
        </w:rPr>
      </w:pPr>
      <w:r w:rsidRPr="00B72CC4">
        <w:rPr>
          <w:color w:val="auto"/>
        </w:rPr>
        <w:t>CTAP is a capital works program funding the building, remodelling or purchase of new or expanded crisis and transitional accommodation for women and children experiencing family and domestic violence (FDV) and older women at risk of homelessness.</w:t>
      </w:r>
    </w:p>
    <w:p w14:paraId="6B6DD2CD" w14:textId="2A692963" w:rsidR="002D36C9" w:rsidRPr="00B72CC4" w:rsidRDefault="002D36C9" w:rsidP="002D36C9">
      <w:pPr>
        <w:pStyle w:val="BodyText"/>
        <w:spacing w:after="120"/>
        <w:rPr>
          <w:color w:val="auto"/>
        </w:rPr>
      </w:pPr>
      <w:r w:rsidRPr="00B72CC4">
        <w:rPr>
          <w:color w:val="auto"/>
        </w:rPr>
        <w:t>The intended outcomes of the program are:</w:t>
      </w:r>
    </w:p>
    <w:p w14:paraId="6F3CEC1E" w14:textId="57766A5C" w:rsidR="002D36C9" w:rsidRPr="00B72CC4" w:rsidRDefault="002D36C9" w:rsidP="002D36C9">
      <w:pPr>
        <w:pStyle w:val="BodyText"/>
        <w:numPr>
          <w:ilvl w:val="0"/>
          <w:numId w:val="21"/>
        </w:numPr>
        <w:spacing w:after="120"/>
        <w:rPr>
          <w:color w:val="auto"/>
        </w:rPr>
      </w:pPr>
      <w:r w:rsidRPr="00B72CC4">
        <w:rPr>
          <w:color w:val="auto"/>
        </w:rPr>
        <w:t xml:space="preserve">increased appropriate crisis and transitional accommodation options for women and children experiencing </w:t>
      </w:r>
      <w:r w:rsidR="005E4571" w:rsidRPr="00B72CC4">
        <w:rPr>
          <w:color w:val="auto"/>
        </w:rPr>
        <w:t>FDV.</w:t>
      </w:r>
    </w:p>
    <w:p w14:paraId="0F3B3F9A" w14:textId="4605A265" w:rsidR="002D36C9" w:rsidRPr="00B72CC4" w:rsidRDefault="002D36C9" w:rsidP="002D36C9">
      <w:pPr>
        <w:pStyle w:val="BodyText"/>
        <w:numPr>
          <w:ilvl w:val="0"/>
          <w:numId w:val="21"/>
        </w:numPr>
        <w:spacing w:after="120"/>
        <w:rPr>
          <w:color w:val="auto"/>
        </w:rPr>
      </w:pPr>
      <w:r w:rsidRPr="00B72CC4">
        <w:rPr>
          <w:color w:val="auto"/>
        </w:rPr>
        <w:t xml:space="preserve">increased appropriate crisis and transitional accommodation options for older women at risk of </w:t>
      </w:r>
      <w:r w:rsidR="005E4571" w:rsidRPr="00B72CC4">
        <w:rPr>
          <w:color w:val="auto"/>
        </w:rPr>
        <w:t>homelessness.</w:t>
      </w:r>
    </w:p>
    <w:p w14:paraId="6F039E6E" w14:textId="7AACF380" w:rsidR="002D36C9" w:rsidRPr="00B72CC4" w:rsidRDefault="002D36C9" w:rsidP="002D36C9">
      <w:pPr>
        <w:pStyle w:val="BodyText"/>
        <w:numPr>
          <w:ilvl w:val="0"/>
          <w:numId w:val="21"/>
        </w:numPr>
        <w:spacing w:after="120"/>
        <w:rPr>
          <w:color w:val="auto"/>
        </w:rPr>
      </w:pPr>
      <w:r w:rsidRPr="00B72CC4">
        <w:rPr>
          <w:color w:val="auto"/>
        </w:rPr>
        <w:t xml:space="preserve">more women and children who are experiencing FDV being safely housed in appropriate crisis and transitional </w:t>
      </w:r>
      <w:r w:rsidR="005E4571" w:rsidRPr="00B72CC4">
        <w:rPr>
          <w:color w:val="auto"/>
        </w:rPr>
        <w:t>accommodation.</w:t>
      </w:r>
    </w:p>
    <w:p w14:paraId="71AD2D69" w14:textId="5DD3D2B6" w:rsidR="00254EE2" w:rsidRPr="00B72CC4" w:rsidRDefault="002D36C9" w:rsidP="001E2001">
      <w:pPr>
        <w:pStyle w:val="BodyText"/>
        <w:numPr>
          <w:ilvl w:val="0"/>
          <w:numId w:val="21"/>
        </w:numPr>
        <w:spacing w:after="120"/>
        <w:rPr>
          <w:color w:val="auto"/>
        </w:rPr>
      </w:pPr>
      <w:r w:rsidRPr="00B72CC4">
        <w:rPr>
          <w:color w:val="auto"/>
        </w:rPr>
        <w:t>more older women who are at risk of homelessness being safely housed in appropriate crisis and transitional accommodation.</w:t>
      </w:r>
    </w:p>
    <w:p w14:paraId="0468E255" w14:textId="146211A8" w:rsidR="0032204D" w:rsidRPr="00BD0B44" w:rsidRDefault="0032204D" w:rsidP="00BD0B44">
      <w:pPr>
        <w:pStyle w:val="Heading2"/>
        <w:spacing w:before="120"/>
        <w:rPr>
          <w:color w:val="C00000"/>
          <w:sz w:val="28"/>
          <w:szCs w:val="28"/>
        </w:rPr>
      </w:pPr>
      <w:r w:rsidRPr="00BD0B44">
        <w:rPr>
          <w:color w:val="C00000"/>
          <w:sz w:val="28"/>
          <w:szCs w:val="28"/>
        </w:rPr>
        <w:t>Selection Process</w:t>
      </w:r>
    </w:p>
    <w:p w14:paraId="46BF8915" w14:textId="17FDA445" w:rsidR="0032204D" w:rsidRPr="00854ACD" w:rsidRDefault="0032204D" w:rsidP="0032204D">
      <w:pPr>
        <w:pStyle w:val="BodyText"/>
        <w:spacing w:after="120"/>
        <w:rPr>
          <w:color w:val="auto"/>
        </w:rPr>
      </w:pPr>
      <w:r>
        <w:t xml:space="preserve">The Community Grants Hub </w:t>
      </w:r>
      <w:r w:rsidR="00F45BB8">
        <w:t xml:space="preserve">(the Hub) </w:t>
      </w:r>
      <w:r>
        <w:t>undertook the initial screening for organisation eligibility and compliance against the requirements outlined in the</w:t>
      </w:r>
      <w:r w:rsidR="00E36339">
        <w:t xml:space="preserve"> </w:t>
      </w:r>
      <w:r>
        <w:t xml:space="preserve">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526CB613" w:rsidR="00D05B2E" w:rsidRDefault="00D05B2E" w:rsidP="008D31D1">
      <w:pPr>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w:t>
      </w:r>
      <w:r w:rsidR="000B2F6A" w:rsidRPr="00854ACD">
        <w:rPr>
          <w:color w:val="auto"/>
        </w:rPr>
        <w:t>an</w:t>
      </w:r>
      <w:r w:rsidRPr="00854ACD">
        <w:rPr>
          <w:color w:val="auto"/>
        </w:rPr>
        <w:t xml:space="preserve"> </w:t>
      </w:r>
      <w:r w:rsidR="00BD0B44" w:rsidRPr="000B2F6A">
        <w:rPr>
          <w:color w:val="auto"/>
        </w:rPr>
        <w:t>o</w:t>
      </w:r>
      <w:r w:rsidRPr="000B2F6A">
        <w:rPr>
          <w:color w:val="auto"/>
        </w:rPr>
        <w:t xml:space="preserve">pen </w:t>
      </w:r>
      <w:r w:rsidR="00BD0B44" w:rsidRPr="000B2F6A">
        <w:rPr>
          <w:color w:val="auto"/>
        </w:rPr>
        <w:t>c</w:t>
      </w:r>
      <w:r w:rsidRPr="000B2F6A">
        <w:rPr>
          <w:color w:val="auto"/>
        </w:rPr>
        <w:t>ompetitive</w:t>
      </w:r>
      <w:r w:rsidRPr="00854ACD">
        <w:rPr>
          <w:color w:val="auto"/>
        </w:rPr>
        <w:t xml:space="preserve"> grant process</w:t>
      </w:r>
      <w:r>
        <w:rPr>
          <w:color w:val="auto"/>
        </w:rPr>
        <w:t xml:space="preserve">. </w:t>
      </w:r>
      <w:r w:rsidR="0032204D">
        <w:rPr>
          <w:color w:val="auto"/>
        </w:rPr>
        <w:t xml:space="preserve">Applications which </w:t>
      </w:r>
      <w:r w:rsidR="00BD0B44">
        <w:rPr>
          <w:color w:val="auto"/>
        </w:rPr>
        <w:t xml:space="preserve">underwent </w:t>
      </w:r>
      <w:r w:rsidR="0032204D">
        <w:rPr>
          <w:color w:val="auto"/>
        </w:rPr>
        <w:t xml:space="preserve">preliminary assessment were provided to the department’s </w:t>
      </w:r>
      <w:r w:rsidR="00722377">
        <w:rPr>
          <w:color w:val="auto"/>
        </w:rPr>
        <w:t>Selection Advisory P</w:t>
      </w:r>
      <w:r w:rsidR="00722377" w:rsidRPr="00854ACD">
        <w:rPr>
          <w:color w:val="auto"/>
        </w:rPr>
        <w:t>anel</w:t>
      </w:r>
      <w:r w:rsidR="00722377">
        <w:rPr>
          <w:color w:val="auto"/>
        </w:rPr>
        <w:t xml:space="preserve"> </w:t>
      </w:r>
      <w:r w:rsidR="0032204D">
        <w:rPr>
          <w:color w:val="auto"/>
        </w:rPr>
        <w:t>(panel) for deliberation.</w:t>
      </w:r>
    </w:p>
    <w:p w14:paraId="5A633FDB" w14:textId="114C093D" w:rsidR="00D11B1C" w:rsidRDefault="0032204D" w:rsidP="0032204D">
      <w:pPr>
        <w:spacing w:before="120" w:after="120"/>
        <w:rPr>
          <w:color w:val="auto"/>
        </w:rPr>
      </w:pPr>
      <w:r>
        <w:rPr>
          <w:color w:val="auto"/>
        </w:rPr>
        <w:lastRenderedPageBreak/>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00C061A7">
        <w:t>, the Minister for Housing and Minister for Homelessness.</w:t>
      </w:r>
    </w:p>
    <w:p w14:paraId="38757A11" w14:textId="2D0B2D45" w:rsidR="00C061A7" w:rsidRDefault="00C061A7" w:rsidP="0032204D">
      <w:pPr>
        <w:spacing w:before="120" w:after="120"/>
        <w:rPr>
          <w:color w:val="auto"/>
        </w:rPr>
      </w:pPr>
      <w:r>
        <w:rPr>
          <w:color w:val="auto"/>
        </w:rPr>
        <w:t xml:space="preserve">When reviewing applications, the panel took into consideration several factors including meeting the identified requirements outlined in the Grant Opportunity </w:t>
      </w:r>
      <w:r w:rsidR="00A27C48">
        <w:rPr>
          <w:color w:val="auto"/>
        </w:rPr>
        <w:t xml:space="preserve">Guidelines </w:t>
      </w:r>
      <w:r>
        <w:rPr>
          <w:color w:val="auto"/>
        </w:rPr>
        <w:t>and the available $100 million funding envelope.</w:t>
      </w:r>
    </w:p>
    <w:p w14:paraId="05BF619D" w14:textId="1329A560" w:rsidR="002F777D" w:rsidRPr="002F777D" w:rsidRDefault="0032204D" w:rsidP="002F777D">
      <w:pPr>
        <w:pStyle w:val="BodyText"/>
        <w:rPr>
          <w:color w:val="auto"/>
        </w:rPr>
      </w:pPr>
      <w:r>
        <w:rPr>
          <w:color w:val="auto"/>
        </w:rPr>
        <w:t xml:space="preserve">The panel’s consideration </w:t>
      </w:r>
      <w:r w:rsidRPr="005B1528">
        <w:rPr>
          <w:color w:val="auto"/>
        </w:rPr>
        <w:t>of assessed applications was, based on:</w:t>
      </w:r>
    </w:p>
    <w:p w14:paraId="2D7AC1AA" w14:textId="2B29B1E7" w:rsidR="0032204D" w:rsidRPr="00270E04" w:rsidRDefault="00E36339" w:rsidP="0032204D">
      <w:pPr>
        <w:pStyle w:val="BodyText"/>
        <w:numPr>
          <w:ilvl w:val="0"/>
          <w:numId w:val="14"/>
        </w:numPr>
        <w:rPr>
          <w:color w:val="auto"/>
        </w:rPr>
      </w:pPr>
      <w:r w:rsidRPr="00270E04">
        <w:rPr>
          <w:color w:val="auto"/>
        </w:rPr>
        <w:t xml:space="preserve">meeting </w:t>
      </w:r>
      <w:r w:rsidR="00BD0B44" w:rsidRPr="00270E04">
        <w:rPr>
          <w:color w:val="auto"/>
        </w:rPr>
        <w:t xml:space="preserve">the </w:t>
      </w:r>
      <w:r w:rsidR="0032204D" w:rsidRPr="00270E04">
        <w:rPr>
          <w:color w:val="auto"/>
        </w:rPr>
        <w:t>compliance</w:t>
      </w:r>
      <w:r w:rsidR="00BD0B44" w:rsidRPr="00270E04">
        <w:rPr>
          <w:color w:val="auto"/>
        </w:rPr>
        <w:t xml:space="preserve"> requirements outlined in</w:t>
      </w:r>
      <w:r w:rsidR="0032204D" w:rsidRPr="00270E04">
        <w:rPr>
          <w:color w:val="auto"/>
        </w:rPr>
        <w:t xml:space="preserve"> the </w:t>
      </w:r>
      <w:r w:rsidR="005E4571" w:rsidRPr="00270E04">
        <w:rPr>
          <w:color w:val="auto"/>
        </w:rPr>
        <w:t>guidelines</w:t>
      </w:r>
    </w:p>
    <w:p w14:paraId="59646AE7" w14:textId="0BAD4AE3" w:rsidR="0032204D" w:rsidRPr="00270E04" w:rsidRDefault="00E36339" w:rsidP="0032204D">
      <w:pPr>
        <w:pStyle w:val="BodyText"/>
        <w:numPr>
          <w:ilvl w:val="0"/>
          <w:numId w:val="14"/>
        </w:numPr>
        <w:rPr>
          <w:color w:val="auto"/>
        </w:rPr>
      </w:pPr>
      <w:r w:rsidRPr="00270E04">
        <w:rPr>
          <w:color w:val="auto"/>
        </w:rPr>
        <w:t xml:space="preserve">meeting </w:t>
      </w:r>
      <w:r w:rsidR="00BD0B44" w:rsidRPr="00270E04">
        <w:rPr>
          <w:color w:val="auto"/>
        </w:rPr>
        <w:t xml:space="preserve">the </w:t>
      </w:r>
      <w:r w:rsidR="0032204D" w:rsidRPr="00270E04">
        <w:rPr>
          <w:color w:val="auto"/>
        </w:rPr>
        <w:t>eligibility</w:t>
      </w:r>
      <w:r w:rsidR="00BD0B44" w:rsidRPr="00270E04">
        <w:rPr>
          <w:color w:val="auto"/>
        </w:rPr>
        <w:t xml:space="preserve"> requirements outline in the </w:t>
      </w:r>
      <w:r w:rsidR="005E4571" w:rsidRPr="00270E04">
        <w:rPr>
          <w:color w:val="auto"/>
        </w:rPr>
        <w:t>guidelines</w:t>
      </w:r>
    </w:p>
    <w:p w14:paraId="7C65F914" w14:textId="592B5DCD" w:rsidR="0032204D" w:rsidRPr="00270E04" w:rsidRDefault="0032204D" w:rsidP="0032204D">
      <w:pPr>
        <w:pStyle w:val="ListParagraph"/>
        <w:numPr>
          <w:ilvl w:val="0"/>
          <w:numId w:val="14"/>
        </w:numPr>
        <w:rPr>
          <w:color w:val="auto"/>
        </w:rPr>
      </w:pPr>
      <w:r w:rsidRPr="00270E04">
        <w:rPr>
          <w:color w:val="auto"/>
        </w:rPr>
        <w:t xml:space="preserve">how well </w:t>
      </w:r>
      <w:r w:rsidR="00BD0B44" w:rsidRPr="00270E04">
        <w:rPr>
          <w:color w:val="auto"/>
        </w:rPr>
        <w:t xml:space="preserve">the </w:t>
      </w:r>
      <w:r w:rsidRPr="00270E04">
        <w:rPr>
          <w:color w:val="auto"/>
        </w:rPr>
        <w:t xml:space="preserve">responses met the assessment </w:t>
      </w:r>
      <w:r w:rsidR="005E4571" w:rsidRPr="00270E04">
        <w:rPr>
          <w:color w:val="auto"/>
        </w:rPr>
        <w:t>criteria</w:t>
      </w:r>
    </w:p>
    <w:p w14:paraId="0C8E2742" w14:textId="26AC1B11" w:rsidR="0032204D" w:rsidRPr="00270E04" w:rsidRDefault="00BD0B44" w:rsidP="0032204D">
      <w:pPr>
        <w:pStyle w:val="BodyText"/>
        <w:numPr>
          <w:ilvl w:val="0"/>
          <w:numId w:val="14"/>
        </w:numPr>
        <w:rPr>
          <w:color w:val="auto"/>
        </w:rPr>
      </w:pPr>
      <w:r w:rsidRPr="00270E04">
        <w:rPr>
          <w:color w:val="auto"/>
        </w:rPr>
        <w:t xml:space="preserve">the provision and appropriateness of the </w:t>
      </w:r>
      <w:r w:rsidR="0032204D" w:rsidRPr="00270E04">
        <w:rPr>
          <w:color w:val="auto"/>
        </w:rPr>
        <w:t>requested attachments</w:t>
      </w:r>
    </w:p>
    <w:p w14:paraId="4484BA83" w14:textId="0ED7EB9E" w:rsidR="0032204D" w:rsidRPr="00270E04" w:rsidRDefault="00BD0B44" w:rsidP="00B60BBA">
      <w:pPr>
        <w:pStyle w:val="BodyText"/>
        <w:numPr>
          <w:ilvl w:val="0"/>
          <w:numId w:val="14"/>
        </w:numPr>
        <w:rPr>
          <w:color w:val="auto"/>
        </w:rPr>
      </w:pPr>
      <w:r w:rsidRPr="00270E04">
        <w:rPr>
          <w:color w:val="auto"/>
        </w:rPr>
        <w:t>W</w:t>
      </w:r>
      <w:r w:rsidR="0032204D" w:rsidRPr="00270E04">
        <w:rPr>
          <w:color w:val="auto"/>
        </w:rPr>
        <w:t>hether</w:t>
      </w:r>
      <w:r w:rsidRPr="00270E04">
        <w:rPr>
          <w:color w:val="auto"/>
        </w:rPr>
        <w:t xml:space="preserve"> the project demonstrated </w:t>
      </w:r>
      <w:r w:rsidR="0032204D" w:rsidRPr="00270E04">
        <w:rPr>
          <w:color w:val="auto"/>
        </w:rPr>
        <w:t>value with relevant money</w:t>
      </w:r>
      <w:r w:rsidR="00E36339" w:rsidRPr="00270E04">
        <w:rPr>
          <w:color w:val="auto"/>
        </w:rPr>
        <w:t xml:space="preserve">, identified risks and the proposed mitigation strategies for the department and the </w:t>
      </w:r>
      <w:r w:rsidR="005E4571" w:rsidRPr="00270E04">
        <w:rPr>
          <w:color w:val="auto"/>
        </w:rPr>
        <w:t>Commonwealth.</w:t>
      </w:r>
    </w:p>
    <w:p w14:paraId="455326A7" w14:textId="2BD6D1CD" w:rsidR="00671C0E" w:rsidRPr="00817C12" w:rsidRDefault="00671C0E" w:rsidP="001E2001">
      <w:pPr>
        <w:spacing w:line="240" w:lineRule="auto"/>
        <w:rPr>
          <w:color w:val="C00000"/>
          <w:sz w:val="28"/>
          <w:szCs w:val="28"/>
        </w:rPr>
      </w:pPr>
      <w:r w:rsidRPr="00817C12">
        <w:rPr>
          <w:color w:val="C00000"/>
          <w:sz w:val="28"/>
          <w:szCs w:val="28"/>
        </w:rPr>
        <w:t>Selection Results</w:t>
      </w:r>
    </w:p>
    <w:p w14:paraId="1E52B474" w14:textId="084A667B" w:rsidR="008A4069" w:rsidRDefault="00671C0E" w:rsidP="00671C0E">
      <w:pPr>
        <w:pStyle w:val="BodyText"/>
        <w:rPr>
          <w:color w:val="auto"/>
        </w:rPr>
      </w:pPr>
      <w:r>
        <w:t xml:space="preserve">There was a strong interest in the grant opportunity and applications were of a high </w:t>
      </w:r>
      <w:r w:rsidR="00565DBA">
        <w:t>standard.</w:t>
      </w:r>
      <w:r w:rsidR="00565DBA" w:rsidRPr="000B2F6A">
        <w:rPr>
          <w:color w:val="auto"/>
        </w:rPr>
        <w:t xml:space="preserve"> The</w:t>
      </w:r>
      <w:r w:rsidRPr="000B2F6A">
        <w:rPr>
          <w:color w:val="auto"/>
        </w:rPr>
        <w:t xml:space="preserve"> preferred applicants </w:t>
      </w:r>
      <w:r w:rsidRPr="00942976">
        <w:rPr>
          <w:color w:val="auto"/>
        </w:rPr>
        <w:t xml:space="preserve">demonstrated </w:t>
      </w:r>
      <w:r>
        <w:rPr>
          <w:color w:val="auto"/>
        </w:rPr>
        <w:t xml:space="preserve">their </w:t>
      </w:r>
      <w:r w:rsidRPr="00942976">
        <w:rPr>
          <w:color w:val="auto"/>
        </w:rPr>
        <w:t>ability to meet the gran</w:t>
      </w:r>
      <w:r>
        <w:rPr>
          <w:color w:val="auto"/>
        </w:rPr>
        <w:t xml:space="preserve">t </w:t>
      </w:r>
      <w:r w:rsidR="008A4069">
        <w:rPr>
          <w:color w:val="auto"/>
        </w:rPr>
        <w:t>requirements outlined in the guidelines based on the strength of their responses to the assessment criteria.</w:t>
      </w:r>
    </w:p>
    <w:p w14:paraId="492CDAD3" w14:textId="775D26A8" w:rsidR="0032204D" w:rsidRDefault="0032204D" w:rsidP="00671C0E">
      <w:pPr>
        <w:pStyle w:val="BodyText"/>
      </w:pPr>
      <w:r w:rsidRPr="000B2F6A">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 xml:space="preserve">. </w:t>
      </w:r>
    </w:p>
    <w:p w14:paraId="58D3A6F8" w14:textId="2CD70010" w:rsidR="0032204D" w:rsidRDefault="0032204D" w:rsidP="0032204D">
      <w:pPr>
        <w:pStyle w:val="BodyText"/>
      </w:pPr>
      <w:r>
        <w:t>This feedback is provided to assist grant applicants to understand what comprised a strong application and</w:t>
      </w:r>
      <w:r w:rsidR="00817C12">
        <w:t xml:space="preserve"> what was </w:t>
      </w:r>
      <w:r>
        <w:t>quality responses to the assessment criteri</w:t>
      </w:r>
      <w:r w:rsidR="00817C12">
        <w:t>a</w:t>
      </w:r>
      <w:r>
        <w:t>.</w:t>
      </w:r>
    </w:p>
    <w:p w14:paraId="4AB95B86" w14:textId="1F100396" w:rsidR="0032204D" w:rsidRDefault="0032204D" w:rsidP="00817C12">
      <w:pPr>
        <w:pStyle w:val="Heading3"/>
        <w:spacing w:before="120"/>
        <w:rPr>
          <w:color w:val="C00000"/>
          <w:sz w:val="24"/>
          <w:szCs w:val="24"/>
        </w:rPr>
      </w:pPr>
      <w:r w:rsidRPr="00817C12">
        <w:rPr>
          <w:color w:val="C00000"/>
          <w:sz w:val="24"/>
          <w:szCs w:val="24"/>
        </w:rPr>
        <w:t>Criterion 1</w:t>
      </w:r>
    </w:p>
    <w:p w14:paraId="1B059506" w14:textId="47B415FF" w:rsidR="00887C0D" w:rsidRDefault="00887C0D" w:rsidP="005B6D5A">
      <w:pPr>
        <w:pStyle w:val="BodyText"/>
        <w:rPr>
          <w:b/>
          <w:bCs/>
        </w:rPr>
      </w:pPr>
      <w:r w:rsidRPr="00887C0D">
        <w:rPr>
          <w:b/>
          <w:bCs/>
        </w:rPr>
        <w:t xml:space="preserve">Show you have the experience to deliver the </w:t>
      </w:r>
      <w:r w:rsidR="005E4571" w:rsidRPr="00887C0D">
        <w:rPr>
          <w:b/>
          <w:bCs/>
        </w:rPr>
        <w:t>project.</w:t>
      </w:r>
    </w:p>
    <w:p w14:paraId="1D763DFB" w14:textId="5CC94123" w:rsidR="0028372E" w:rsidRPr="00270E04" w:rsidRDefault="008D3EB2" w:rsidP="005B6D5A">
      <w:pPr>
        <w:pStyle w:val="BodyText"/>
      </w:pPr>
      <w:r w:rsidRPr="00270E04">
        <w:t>Applicants’</w:t>
      </w:r>
      <w:r w:rsidR="0028372E" w:rsidRPr="00270E04">
        <w:t xml:space="preserve"> response</w:t>
      </w:r>
      <w:r w:rsidR="001E77D0" w:rsidRPr="00270E04">
        <w:t>:</w:t>
      </w:r>
    </w:p>
    <w:p w14:paraId="1BC0370B" w14:textId="67CA4132" w:rsidR="00887C0D" w:rsidRPr="00270E04" w:rsidRDefault="00887C0D" w:rsidP="001E2001">
      <w:pPr>
        <w:pStyle w:val="BodyText"/>
        <w:numPr>
          <w:ilvl w:val="0"/>
          <w:numId w:val="14"/>
        </w:numPr>
        <w:spacing w:before="60"/>
        <w:rPr>
          <w:szCs w:val="22"/>
        </w:rPr>
      </w:pPr>
      <w:r w:rsidRPr="00270E04">
        <w:rPr>
          <w:szCs w:val="22"/>
        </w:rPr>
        <w:t xml:space="preserve">demonstrated </w:t>
      </w:r>
      <w:r w:rsidR="00905D7D" w:rsidRPr="00270E04">
        <w:rPr>
          <w:szCs w:val="22"/>
        </w:rPr>
        <w:t>the</w:t>
      </w:r>
      <w:r w:rsidR="0028372E" w:rsidRPr="00270E04">
        <w:rPr>
          <w:szCs w:val="22"/>
        </w:rPr>
        <w:t>ir</w:t>
      </w:r>
      <w:r w:rsidRPr="00270E04">
        <w:rPr>
          <w:szCs w:val="22"/>
        </w:rPr>
        <w:t xml:space="preserve"> experience delivering similar projects that were completed to appropriate standards on time and within </w:t>
      </w:r>
      <w:r w:rsidR="008D3EB2" w:rsidRPr="00270E04">
        <w:rPr>
          <w:szCs w:val="22"/>
        </w:rPr>
        <w:t>budget.</w:t>
      </w:r>
    </w:p>
    <w:p w14:paraId="4DFF7000" w14:textId="7BDDB1C4" w:rsidR="00905D7D" w:rsidRPr="00270E04" w:rsidRDefault="00887C0D" w:rsidP="005B6D5A">
      <w:pPr>
        <w:pStyle w:val="BodyText"/>
        <w:numPr>
          <w:ilvl w:val="0"/>
          <w:numId w:val="14"/>
        </w:numPr>
        <w:spacing w:before="60"/>
        <w:rPr>
          <w:szCs w:val="22"/>
        </w:rPr>
      </w:pPr>
      <w:r w:rsidRPr="00270E04">
        <w:rPr>
          <w:szCs w:val="22"/>
        </w:rPr>
        <w:t>explained the</w:t>
      </w:r>
      <w:r w:rsidR="0028372E" w:rsidRPr="00270E04">
        <w:rPr>
          <w:szCs w:val="22"/>
        </w:rPr>
        <w:t>ir</w:t>
      </w:r>
      <w:r w:rsidRPr="00270E04">
        <w:rPr>
          <w:szCs w:val="22"/>
        </w:rPr>
        <w:t xml:space="preserve"> approach to securing ongoing funding for service delivery and maintenance over the course of the designated use </w:t>
      </w:r>
      <w:r w:rsidR="008D3EB2" w:rsidRPr="00270E04">
        <w:rPr>
          <w:szCs w:val="22"/>
        </w:rPr>
        <w:t>period.</w:t>
      </w:r>
    </w:p>
    <w:p w14:paraId="22A5A574" w14:textId="63EBCF4F" w:rsidR="00887C0D" w:rsidRPr="00270E04" w:rsidRDefault="00905D7D" w:rsidP="005B6D5A">
      <w:pPr>
        <w:pStyle w:val="BodyText"/>
        <w:numPr>
          <w:ilvl w:val="0"/>
          <w:numId w:val="14"/>
        </w:numPr>
        <w:spacing w:before="60"/>
        <w:rPr>
          <w:szCs w:val="22"/>
        </w:rPr>
      </w:pPr>
      <w:r w:rsidRPr="00270E04">
        <w:rPr>
          <w:szCs w:val="22"/>
        </w:rPr>
        <w:t>described the</w:t>
      </w:r>
      <w:r w:rsidR="00696FDA" w:rsidRPr="00270E04">
        <w:rPr>
          <w:szCs w:val="22"/>
        </w:rPr>
        <w:t>ir</w:t>
      </w:r>
      <w:r w:rsidRPr="00270E04">
        <w:rPr>
          <w:szCs w:val="22"/>
        </w:rPr>
        <w:t xml:space="preserve"> experience providing and/or facilitating services that meet the needs of the client group</w:t>
      </w:r>
      <w:r w:rsidR="00D60E3B" w:rsidRPr="00270E04">
        <w:rPr>
          <w:szCs w:val="22"/>
        </w:rPr>
        <w:t>.</w:t>
      </w:r>
    </w:p>
    <w:p w14:paraId="60F72B37" w14:textId="3FD55BEB" w:rsidR="000255CB" w:rsidRPr="00270E04" w:rsidRDefault="000255CB" w:rsidP="00817C12">
      <w:pPr>
        <w:pStyle w:val="Default"/>
        <w:rPr>
          <w:color w:val="C00000"/>
          <w:sz w:val="22"/>
          <w:szCs w:val="22"/>
        </w:rPr>
      </w:pPr>
      <w:r w:rsidRPr="00270E04">
        <w:rPr>
          <w:color w:val="C00000"/>
          <w:sz w:val="22"/>
          <w:szCs w:val="22"/>
        </w:rPr>
        <w:t>Strong applications:</w:t>
      </w:r>
    </w:p>
    <w:p w14:paraId="22ED01D8" w14:textId="1FA5072D" w:rsidR="00A96F42" w:rsidRPr="00270E04" w:rsidRDefault="00CF6B74" w:rsidP="00A96F42">
      <w:pPr>
        <w:pStyle w:val="BodyText"/>
        <w:numPr>
          <w:ilvl w:val="0"/>
          <w:numId w:val="20"/>
        </w:numPr>
        <w:spacing w:before="60"/>
      </w:pPr>
      <w:r w:rsidRPr="00270E04">
        <w:t xml:space="preserve">provided </w:t>
      </w:r>
      <w:r w:rsidR="00A96F42" w:rsidRPr="00270E04">
        <w:t>details of previous experience in delivering projects that are in similar nature to the applicant’s project proposal meeting the objectives of the grant, including specific details of project management experience, timeline, scope of the project, design standards, budget, contingency plans to tackle unexpected problems and the outcome</w:t>
      </w:r>
      <w:r w:rsidRPr="00270E04">
        <w:t xml:space="preserve"> and examples of previous projects that were similar in scale and scope to the CTAP proposal</w:t>
      </w:r>
      <w:r w:rsidR="00D11B1C" w:rsidRPr="00270E04">
        <w:t>.</w:t>
      </w:r>
    </w:p>
    <w:p w14:paraId="796C9335" w14:textId="69097E53" w:rsidR="00A96F42" w:rsidRPr="00270E04" w:rsidRDefault="00CF6B74" w:rsidP="00A96F42">
      <w:pPr>
        <w:pStyle w:val="BodyText"/>
        <w:numPr>
          <w:ilvl w:val="0"/>
          <w:numId w:val="20"/>
        </w:numPr>
        <w:spacing w:before="60"/>
      </w:pPr>
      <w:r w:rsidRPr="00270E04">
        <w:t>provided comprehensive</w:t>
      </w:r>
      <w:r w:rsidR="00A96F42" w:rsidRPr="00270E04">
        <w:t xml:space="preserve"> details of </w:t>
      </w:r>
      <w:r w:rsidRPr="00270E04">
        <w:t xml:space="preserve">the applicants funding model, including an explanation of </w:t>
      </w:r>
      <w:r w:rsidR="00A96F42" w:rsidRPr="00270E04">
        <w:t xml:space="preserve">past and current and ongoing funding sources, including any alternative plans in place </w:t>
      </w:r>
      <w:r w:rsidRPr="00270E04">
        <w:t>as well as specific and realistic examples of potential future funding cycles that seem appropriate for the operational and maintenance associated with the project.</w:t>
      </w:r>
    </w:p>
    <w:p w14:paraId="787E4E07" w14:textId="327685A0" w:rsidR="000D5EA1" w:rsidRPr="002429D3" w:rsidRDefault="00CF6B74" w:rsidP="00B60BBA">
      <w:pPr>
        <w:pStyle w:val="BodyText"/>
        <w:numPr>
          <w:ilvl w:val="0"/>
          <w:numId w:val="20"/>
        </w:numPr>
        <w:spacing w:before="60"/>
      </w:pPr>
      <w:r w:rsidRPr="00270E04">
        <w:lastRenderedPageBreak/>
        <w:t xml:space="preserve">provided </w:t>
      </w:r>
      <w:r w:rsidR="00A96F42" w:rsidRPr="00270E04">
        <w:t>detailed information on target cohort needs and the details of the relevant experience in providing the services and how they will meet the needs of the target cohort. Provided details of the relevant supporting service providers including evidence of support letters or agreements.</w:t>
      </w:r>
    </w:p>
    <w:p w14:paraId="29EC0560" w14:textId="23F74E50" w:rsidR="00817C12" w:rsidRPr="0028372E" w:rsidRDefault="00817C12" w:rsidP="00817C12">
      <w:pPr>
        <w:pStyle w:val="Heading3"/>
        <w:spacing w:before="120"/>
        <w:rPr>
          <w:color w:val="C00000"/>
          <w:sz w:val="24"/>
          <w:szCs w:val="24"/>
        </w:rPr>
      </w:pPr>
      <w:r w:rsidRPr="0028372E">
        <w:rPr>
          <w:color w:val="C00000"/>
          <w:sz w:val="24"/>
          <w:szCs w:val="24"/>
        </w:rPr>
        <w:t>Criterion 2</w:t>
      </w:r>
    </w:p>
    <w:p w14:paraId="1FFCF6BA" w14:textId="2C401670" w:rsidR="009C2B9F" w:rsidRDefault="009C2B9F" w:rsidP="005B6D5A">
      <w:pPr>
        <w:pStyle w:val="BodyText"/>
        <w:rPr>
          <w:b/>
          <w:bCs/>
        </w:rPr>
      </w:pPr>
      <w:r w:rsidRPr="0028372E">
        <w:rPr>
          <w:b/>
          <w:bCs/>
        </w:rPr>
        <w:t xml:space="preserve">Describe how the design and location of your project meets the needs of your </w:t>
      </w:r>
      <w:r w:rsidR="008D3EB2" w:rsidRPr="0028372E">
        <w:rPr>
          <w:b/>
          <w:bCs/>
        </w:rPr>
        <w:t>clients</w:t>
      </w:r>
      <w:r w:rsidR="00F401BD" w:rsidRPr="0028372E">
        <w:rPr>
          <w:b/>
          <w:bCs/>
        </w:rPr>
        <w:t>.</w:t>
      </w:r>
    </w:p>
    <w:p w14:paraId="34E0DF02" w14:textId="7AD2A687" w:rsidR="00696FDA" w:rsidRPr="00A419CE" w:rsidRDefault="008D3EB2" w:rsidP="005B6D5A">
      <w:pPr>
        <w:pStyle w:val="BodyText"/>
      </w:pPr>
      <w:r w:rsidRPr="00A419CE">
        <w:t>Applicants’</w:t>
      </w:r>
      <w:r w:rsidR="00696FDA" w:rsidRPr="00A419CE">
        <w:t xml:space="preserve"> respons</w:t>
      </w:r>
      <w:r w:rsidR="00BF4AC2" w:rsidRPr="00A419CE">
        <w:t>e</w:t>
      </w:r>
      <w:r w:rsidR="00696FDA" w:rsidRPr="00A419CE">
        <w:t>:</w:t>
      </w:r>
    </w:p>
    <w:p w14:paraId="34E2F912" w14:textId="00DA6126" w:rsidR="00FF3659" w:rsidRPr="00A419CE" w:rsidRDefault="00FF3659" w:rsidP="005B6D5A">
      <w:pPr>
        <w:pStyle w:val="BodyText"/>
        <w:numPr>
          <w:ilvl w:val="0"/>
          <w:numId w:val="14"/>
        </w:numPr>
        <w:spacing w:before="60"/>
        <w:rPr>
          <w:szCs w:val="22"/>
        </w:rPr>
      </w:pPr>
      <w:r w:rsidRPr="00A419CE">
        <w:rPr>
          <w:szCs w:val="22"/>
        </w:rPr>
        <w:t xml:space="preserve">explained how the design of the accommodation protects the dignity, security, </w:t>
      </w:r>
      <w:r w:rsidR="00EE6163" w:rsidRPr="00A419CE">
        <w:rPr>
          <w:szCs w:val="22"/>
        </w:rPr>
        <w:t>safety,</w:t>
      </w:r>
      <w:r w:rsidRPr="00A419CE">
        <w:rPr>
          <w:szCs w:val="22"/>
        </w:rPr>
        <w:t xml:space="preserve"> and privacy of the clients that the project will </w:t>
      </w:r>
      <w:r w:rsidR="008D3EB2" w:rsidRPr="00A419CE">
        <w:rPr>
          <w:szCs w:val="22"/>
        </w:rPr>
        <w:t>support.</w:t>
      </w:r>
    </w:p>
    <w:p w14:paraId="0279E67C" w14:textId="38906972" w:rsidR="00FF3659" w:rsidRPr="00A419CE" w:rsidRDefault="00FF3659" w:rsidP="005B6D5A">
      <w:pPr>
        <w:pStyle w:val="BodyText"/>
        <w:numPr>
          <w:ilvl w:val="0"/>
          <w:numId w:val="14"/>
        </w:numPr>
        <w:spacing w:before="60"/>
        <w:rPr>
          <w:szCs w:val="22"/>
        </w:rPr>
      </w:pPr>
      <w:r w:rsidRPr="00A419CE">
        <w:rPr>
          <w:szCs w:val="22"/>
        </w:rPr>
        <w:t>showed that the project’s location is appropriate given unmet demand and client needs, including access to services and amenities (for example, public transportation, health services, shops)</w:t>
      </w:r>
      <w:r w:rsidR="00D11B1C" w:rsidRPr="00A419CE">
        <w:rPr>
          <w:szCs w:val="22"/>
        </w:rPr>
        <w:t>.</w:t>
      </w:r>
    </w:p>
    <w:p w14:paraId="0BAA91F2" w14:textId="14437743" w:rsidR="00FF3659" w:rsidRPr="00A419CE" w:rsidRDefault="00FF3659" w:rsidP="005B6D5A">
      <w:pPr>
        <w:pStyle w:val="BodyText"/>
        <w:numPr>
          <w:ilvl w:val="0"/>
          <w:numId w:val="14"/>
        </w:numPr>
        <w:spacing w:before="60"/>
        <w:rPr>
          <w:szCs w:val="22"/>
        </w:rPr>
      </w:pPr>
      <w:r w:rsidRPr="00A419CE">
        <w:rPr>
          <w:szCs w:val="22"/>
        </w:rPr>
        <w:t xml:space="preserve">described how </w:t>
      </w:r>
      <w:r w:rsidR="00696FDA" w:rsidRPr="00A419CE">
        <w:rPr>
          <w:szCs w:val="22"/>
        </w:rPr>
        <w:t>they developed the design of their project</w:t>
      </w:r>
      <w:r w:rsidRPr="00A419CE">
        <w:rPr>
          <w:szCs w:val="22"/>
        </w:rPr>
        <w:t xml:space="preserve">, including any community consultation </w:t>
      </w:r>
      <w:r w:rsidR="00BF4AC2" w:rsidRPr="00A419CE">
        <w:rPr>
          <w:szCs w:val="22"/>
        </w:rPr>
        <w:t xml:space="preserve">they have </w:t>
      </w:r>
      <w:r w:rsidRPr="00A419CE">
        <w:rPr>
          <w:szCs w:val="22"/>
        </w:rPr>
        <w:t>undertaken.</w:t>
      </w:r>
    </w:p>
    <w:p w14:paraId="566AF00B" w14:textId="77777777" w:rsidR="00817C12" w:rsidRPr="0028372E" w:rsidRDefault="00817C12" w:rsidP="00817C12">
      <w:pPr>
        <w:pStyle w:val="Default"/>
        <w:rPr>
          <w:color w:val="C00000"/>
          <w:sz w:val="22"/>
          <w:szCs w:val="22"/>
        </w:rPr>
      </w:pPr>
      <w:r w:rsidRPr="0028372E">
        <w:rPr>
          <w:color w:val="C00000"/>
          <w:sz w:val="22"/>
          <w:szCs w:val="22"/>
        </w:rPr>
        <w:t>Strong applications:</w:t>
      </w:r>
    </w:p>
    <w:p w14:paraId="6C34E667" w14:textId="696E031A" w:rsidR="00055490" w:rsidRPr="004A73E6" w:rsidRDefault="00055490" w:rsidP="00055490">
      <w:pPr>
        <w:pStyle w:val="BodyText"/>
        <w:numPr>
          <w:ilvl w:val="0"/>
          <w:numId w:val="20"/>
        </w:numPr>
        <w:spacing w:before="60"/>
      </w:pPr>
      <w:r w:rsidRPr="004A73E6">
        <w:rPr>
          <w:rFonts w:ascii="Arial" w:eastAsia="Arial" w:hAnsi="Arial" w:cs="Arial"/>
          <w:color w:val="auto"/>
          <w:szCs w:val="22"/>
        </w:rPr>
        <w:t xml:space="preserve">provided clear information about the physical design of the accommodation and explained how </w:t>
      </w:r>
      <w:r>
        <w:rPr>
          <w:rFonts w:ascii="Arial" w:eastAsia="Arial" w:hAnsi="Arial" w:cs="Arial"/>
          <w:color w:val="auto"/>
          <w:szCs w:val="22"/>
        </w:rPr>
        <w:t>it</w:t>
      </w:r>
      <w:r w:rsidRPr="004A73E6">
        <w:rPr>
          <w:rFonts w:ascii="Arial" w:eastAsia="Arial" w:hAnsi="Arial" w:cs="Arial"/>
          <w:color w:val="auto"/>
          <w:szCs w:val="22"/>
        </w:rPr>
        <w:t xml:space="preserve"> align</w:t>
      </w:r>
      <w:r w:rsidR="000D5EA1">
        <w:rPr>
          <w:rFonts w:ascii="Arial" w:eastAsia="Arial" w:hAnsi="Arial" w:cs="Arial"/>
          <w:color w:val="auto"/>
          <w:szCs w:val="22"/>
        </w:rPr>
        <w:t>ed</w:t>
      </w:r>
      <w:r w:rsidRPr="004A73E6">
        <w:rPr>
          <w:rFonts w:ascii="Arial" w:eastAsia="Arial" w:hAnsi="Arial" w:cs="Arial"/>
          <w:color w:val="auto"/>
          <w:szCs w:val="22"/>
        </w:rPr>
        <w:t xml:space="preserve"> with the dignity, security, </w:t>
      </w:r>
      <w:r w:rsidR="00EE6163" w:rsidRPr="004A73E6">
        <w:rPr>
          <w:rFonts w:ascii="Arial" w:eastAsia="Arial" w:hAnsi="Arial" w:cs="Arial"/>
          <w:color w:val="auto"/>
          <w:szCs w:val="22"/>
        </w:rPr>
        <w:t>safety,</w:t>
      </w:r>
      <w:r w:rsidRPr="004A73E6">
        <w:rPr>
          <w:rFonts w:ascii="Arial" w:eastAsia="Arial" w:hAnsi="Arial" w:cs="Arial"/>
          <w:color w:val="auto"/>
          <w:szCs w:val="22"/>
        </w:rPr>
        <w:t xml:space="preserve"> and privacy of the specific clients that th</w:t>
      </w:r>
      <w:r>
        <w:rPr>
          <w:rFonts w:ascii="Arial" w:eastAsia="Arial" w:hAnsi="Arial" w:cs="Arial"/>
          <w:color w:val="auto"/>
          <w:szCs w:val="22"/>
        </w:rPr>
        <w:t xml:space="preserve">e project </w:t>
      </w:r>
      <w:r w:rsidRPr="004A73E6">
        <w:rPr>
          <w:rFonts w:ascii="Arial" w:eastAsia="Arial" w:hAnsi="Arial" w:cs="Arial"/>
          <w:color w:val="auto"/>
          <w:szCs w:val="22"/>
        </w:rPr>
        <w:t>support</w:t>
      </w:r>
      <w:r>
        <w:rPr>
          <w:rFonts w:ascii="Arial" w:eastAsia="Arial" w:hAnsi="Arial" w:cs="Arial"/>
          <w:color w:val="auto"/>
          <w:szCs w:val="22"/>
        </w:rPr>
        <w:t>s, showing that the applicant has a thorough understanding of its clients</w:t>
      </w:r>
      <w:r w:rsidR="00CD2248">
        <w:rPr>
          <w:rFonts w:ascii="Arial" w:eastAsia="Arial" w:hAnsi="Arial" w:cs="Arial"/>
          <w:color w:val="auto"/>
          <w:szCs w:val="22"/>
        </w:rPr>
        <w:t xml:space="preserve"> </w:t>
      </w:r>
      <w:r w:rsidR="005C1CF4">
        <w:rPr>
          <w:rFonts w:ascii="Arial" w:eastAsia="Arial" w:hAnsi="Arial" w:cs="Arial"/>
          <w:color w:val="auto"/>
          <w:szCs w:val="22"/>
        </w:rPr>
        <w:t>needs.</w:t>
      </w:r>
    </w:p>
    <w:p w14:paraId="6608AF35" w14:textId="31A989D3" w:rsidR="00537639" w:rsidRPr="004A73E6" w:rsidRDefault="00537639" w:rsidP="00537639">
      <w:pPr>
        <w:pStyle w:val="BodyText"/>
        <w:numPr>
          <w:ilvl w:val="0"/>
          <w:numId w:val="14"/>
        </w:numPr>
        <w:spacing w:before="60"/>
      </w:pPr>
      <w:r>
        <w:t>explained how this project was developed, and how design choices specifically reflect feedback provided or lessons learned through community consultation, including ongoing engagement with victim-</w:t>
      </w:r>
      <w:r w:rsidR="005C1CF4">
        <w:t>survivors.</w:t>
      </w:r>
    </w:p>
    <w:p w14:paraId="11748A70" w14:textId="3F27EF74" w:rsidR="005B7AA1" w:rsidRPr="002D0F6C" w:rsidRDefault="005B7AA1" w:rsidP="005B7AA1">
      <w:pPr>
        <w:pStyle w:val="BodyText"/>
        <w:numPr>
          <w:ilvl w:val="0"/>
          <w:numId w:val="14"/>
        </w:numPr>
        <w:spacing w:before="60"/>
      </w:pPr>
      <w:r w:rsidRPr="004A73E6">
        <w:rPr>
          <w:rFonts w:ascii="Arial" w:eastAsia="Arial" w:hAnsi="Arial" w:cs="Arial"/>
          <w:color w:val="auto"/>
          <w:szCs w:val="22"/>
        </w:rPr>
        <w:t>used a variety of data sources to demonstrate the unmet demand for this project in its location</w:t>
      </w:r>
      <w:r>
        <w:rPr>
          <w:rFonts w:ascii="Arial" w:eastAsia="Arial" w:hAnsi="Arial" w:cs="Arial"/>
          <w:color w:val="auto"/>
          <w:szCs w:val="22"/>
        </w:rPr>
        <w:t xml:space="preserve">, including empirical data from AIHW, the ABS, </w:t>
      </w:r>
      <w:r w:rsidR="00B60BBA">
        <w:rPr>
          <w:rFonts w:ascii="Arial" w:eastAsia="Arial" w:hAnsi="Arial" w:cs="Arial"/>
          <w:color w:val="auto"/>
          <w:szCs w:val="22"/>
        </w:rPr>
        <w:t>or other</w:t>
      </w:r>
      <w:r>
        <w:rPr>
          <w:rFonts w:ascii="Arial" w:eastAsia="Arial" w:hAnsi="Arial" w:cs="Arial"/>
          <w:color w:val="auto"/>
          <w:szCs w:val="22"/>
        </w:rPr>
        <w:t xml:space="preserve"> statistics, academic research, the applicant’s own records, accounts from service providers in the area, or other relevant </w:t>
      </w:r>
      <w:r w:rsidR="005C1CF4">
        <w:rPr>
          <w:rFonts w:ascii="Arial" w:eastAsia="Arial" w:hAnsi="Arial" w:cs="Arial"/>
          <w:color w:val="auto"/>
          <w:szCs w:val="22"/>
        </w:rPr>
        <w:t>sources.</w:t>
      </w:r>
    </w:p>
    <w:p w14:paraId="618406C3" w14:textId="67809C18" w:rsidR="00817C12" w:rsidRPr="0028372E" w:rsidRDefault="00817C12" w:rsidP="00817C12">
      <w:pPr>
        <w:pStyle w:val="Heading3"/>
        <w:spacing w:before="120"/>
        <w:rPr>
          <w:color w:val="C00000"/>
          <w:sz w:val="24"/>
          <w:szCs w:val="24"/>
        </w:rPr>
      </w:pPr>
      <w:r w:rsidRPr="0028372E">
        <w:rPr>
          <w:color w:val="C00000"/>
          <w:sz w:val="24"/>
          <w:szCs w:val="24"/>
        </w:rPr>
        <w:t>Criterion 3</w:t>
      </w:r>
    </w:p>
    <w:p w14:paraId="1D3A179D" w14:textId="2F321AE0" w:rsidR="00955D78" w:rsidRDefault="009C2B9F" w:rsidP="005B6D5A">
      <w:pPr>
        <w:pStyle w:val="BodyText"/>
        <w:rPr>
          <w:b/>
          <w:bCs/>
        </w:rPr>
      </w:pPr>
      <w:r w:rsidRPr="0028372E">
        <w:rPr>
          <w:b/>
          <w:bCs/>
        </w:rPr>
        <w:t>Demonstrate</w:t>
      </w:r>
      <w:r w:rsidR="005E05F9">
        <w:rPr>
          <w:b/>
          <w:bCs/>
        </w:rPr>
        <w:t xml:space="preserve"> </w:t>
      </w:r>
      <w:r w:rsidRPr="0028372E">
        <w:rPr>
          <w:b/>
          <w:bCs/>
        </w:rPr>
        <w:t xml:space="preserve">your project is able to support your clients throughout their </w:t>
      </w:r>
      <w:r w:rsidR="005C1CF4" w:rsidRPr="0028372E">
        <w:rPr>
          <w:b/>
          <w:bCs/>
        </w:rPr>
        <w:t>stay.</w:t>
      </w:r>
    </w:p>
    <w:p w14:paraId="14CC86D5" w14:textId="04E45010" w:rsidR="00BF4AC2" w:rsidRPr="00A419CE" w:rsidRDefault="005C1CF4" w:rsidP="005B6D5A">
      <w:pPr>
        <w:pStyle w:val="BodyText"/>
      </w:pPr>
      <w:r w:rsidRPr="00A419CE">
        <w:t>Applicants’</w:t>
      </w:r>
      <w:r w:rsidR="00BF4AC2" w:rsidRPr="00A419CE">
        <w:t xml:space="preserve"> response:</w:t>
      </w:r>
    </w:p>
    <w:p w14:paraId="58A896B5" w14:textId="23A2D43D" w:rsidR="00955D78" w:rsidRPr="00A419CE" w:rsidRDefault="00955D78" w:rsidP="005B6D5A">
      <w:pPr>
        <w:pStyle w:val="BodyText"/>
        <w:numPr>
          <w:ilvl w:val="0"/>
          <w:numId w:val="14"/>
        </w:numPr>
        <w:spacing w:before="60"/>
        <w:rPr>
          <w:szCs w:val="22"/>
        </w:rPr>
      </w:pPr>
      <w:r w:rsidRPr="00A419CE">
        <w:rPr>
          <w:szCs w:val="22"/>
        </w:rPr>
        <w:t>describe</w:t>
      </w:r>
      <w:r w:rsidR="008866EE" w:rsidRPr="00A419CE">
        <w:rPr>
          <w:szCs w:val="22"/>
        </w:rPr>
        <w:t>d</w:t>
      </w:r>
      <w:r w:rsidRPr="00A419CE">
        <w:rPr>
          <w:szCs w:val="22"/>
        </w:rPr>
        <w:t xml:space="preserve"> how </w:t>
      </w:r>
      <w:r w:rsidR="008866EE" w:rsidRPr="00A419CE">
        <w:rPr>
          <w:szCs w:val="22"/>
        </w:rPr>
        <w:t>the</w:t>
      </w:r>
      <w:r w:rsidR="00BF4AC2" w:rsidRPr="00A419CE">
        <w:rPr>
          <w:szCs w:val="22"/>
        </w:rPr>
        <w:t>ir</w:t>
      </w:r>
      <w:r w:rsidRPr="00A419CE">
        <w:rPr>
          <w:szCs w:val="22"/>
        </w:rPr>
        <w:t xml:space="preserve"> project will provide and/or facilitate appropriate support for </w:t>
      </w:r>
      <w:r w:rsidR="008866EE" w:rsidRPr="00A419CE">
        <w:rPr>
          <w:szCs w:val="22"/>
        </w:rPr>
        <w:t>the</w:t>
      </w:r>
      <w:r w:rsidRPr="00A419CE">
        <w:rPr>
          <w:szCs w:val="22"/>
        </w:rPr>
        <w:t xml:space="preserve"> clients throughout the duration of their </w:t>
      </w:r>
      <w:r w:rsidR="005C1CF4" w:rsidRPr="00A419CE">
        <w:rPr>
          <w:szCs w:val="22"/>
        </w:rPr>
        <w:t>stay.</w:t>
      </w:r>
    </w:p>
    <w:p w14:paraId="56AA9231" w14:textId="7F3186FF" w:rsidR="00955D78" w:rsidRPr="00A419CE" w:rsidRDefault="00955D78" w:rsidP="005B6D5A">
      <w:pPr>
        <w:pStyle w:val="BodyText"/>
        <w:numPr>
          <w:ilvl w:val="0"/>
          <w:numId w:val="14"/>
        </w:numPr>
        <w:spacing w:before="60"/>
        <w:rPr>
          <w:szCs w:val="22"/>
        </w:rPr>
      </w:pPr>
      <w:r w:rsidRPr="00A419CE">
        <w:rPr>
          <w:szCs w:val="22"/>
        </w:rPr>
        <w:t>describe</w:t>
      </w:r>
      <w:r w:rsidR="008866EE" w:rsidRPr="00A419CE">
        <w:rPr>
          <w:szCs w:val="22"/>
        </w:rPr>
        <w:t>d</w:t>
      </w:r>
      <w:r w:rsidRPr="00A419CE">
        <w:rPr>
          <w:szCs w:val="22"/>
        </w:rPr>
        <w:t xml:space="preserve"> how </w:t>
      </w:r>
      <w:r w:rsidR="00422C44" w:rsidRPr="00A419CE">
        <w:rPr>
          <w:szCs w:val="22"/>
        </w:rPr>
        <w:t>they</w:t>
      </w:r>
      <w:r w:rsidRPr="00A419CE">
        <w:rPr>
          <w:szCs w:val="22"/>
        </w:rPr>
        <w:t xml:space="preserve"> will help </w:t>
      </w:r>
      <w:r w:rsidR="008866EE" w:rsidRPr="00A419CE">
        <w:rPr>
          <w:szCs w:val="22"/>
        </w:rPr>
        <w:t>the</w:t>
      </w:r>
      <w:r w:rsidRPr="00A419CE">
        <w:rPr>
          <w:szCs w:val="22"/>
        </w:rPr>
        <w:t xml:space="preserve"> clients transition to longer term housing at the end of their </w:t>
      </w:r>
      <w:r w:rsidR="005C1CF4" w:rsidRPr="00A419CE">
        <w:rPr>
          <w:szCs w:val="22"/>
        </w:rPr>
        <w:t>stay.</w:t>
      </w:r>
    </w:p>
    <w:p w14:paraId="08AB2D9C" w14:textId="69E8D849" w:rsidR="00955D78" w:rsidRPr="00A419CE" w:rsidRDefault="00955D78" w:rsidP="005B6D5A">
      <w:pPr>
        <w:pStyle w:val="BodyText"/>
        <w:numPr>
          <w:ilvl w:val="0"/>
          <w:numId w:val="14"/>
        </w:numPr>
        <w:spacing w:before="60"/>
        <w:rPr>
          <w:szCs w:val="22"/>
        </w:rPr>
      </w:pPr>
      <w:r w:rsidRPr="00A419CE">
        <w:rPr>
          <w:szCs w:val="22"/>
        </w:rPr>
        <w:t>explain</w:t>
      </w:r>
      <w:r w:rsidR="008866EE" w:rsidRPr="00A419CE">
        <w:rPr>
          <w:szCs w:val="22"/>
        </w:rPr>
        <w:t>ed</w:t>
      </w:r>
      <w:r w:rsidRPr="00A419CE">
        <w:rPr>
          <w:szCs w:val="22"/>
        </w:rPr>
        <w:t xml:space="preserve"> </w:t>
      </w:r>
      <w:r w:rsidR="008866EE" w:rsidRPr="00A419CE">
        <w:rPr>
          <w:szCs w:val="22"/>
        </w:rPr>
        <w:t>the</w:t>
      </w:r>
      <w:r w:rsidR="00BF4AC2" w:rsidRPr="00A419CE">
        <w:rPr>
          <w:szCs w:val="22"/>
        </w:rPr>
        <w:t>ir</w:t>
      </w:r>
      <w:r w:rsidRPr="00A419CE">
        <w:rPr>
          <w:szCs w:val="22"/>
        </w:rPr>
        <w:t xml:space="preserve"> process for referring clients to appropriate accommodation if they are not able to be supported by </w:t>
      </w:r>
      <w:r w:rsidR="008866EE" w:rsidRPr="00A419CE">
        <w:rPr>
          <w:szCs w:val="22"/>
        </w:rPr>
        <w:t>the</w:t>
      </w:r>
      <w:r w:rsidR="00BF4AC2" w:rsidRPr="00A419CE">
        <w:rPr>
          <w:szCs w:val="22"/>
        </w:rPr>
        <w:t>ir</w:t>
      </w:r>
      <w:r w:rsidRPr="00A419CE">
        <w:rPr>
          <w:szCs w:val="22"/>
        </w:rPr>
        <w:t xml:space="preserve"> project, including:</w:t>
      </w:r>
    </w:p>
    <w:p w14:paraId="3D1B72C5" w14:textId="77777777" w:rsidR="0028372E" w:rsidRPr="00A419CE" w:rsidRDefault="00955D78" w:rsidP="0028372E">
      <w:pPr>
        <w:pStyle w:val="BodyText"/>
        <w:numPr>
          <w:ilvl w:val="0"/>
          <w:numId w:val="19"/>
        </w:numPr>
        <w:spacing w:before="60"/>
        <w:rPr>
          <w:szCs w:val="22"/>
        </w:rPr>
      </w:pPr>
      <w:r w:rsidRPr="00A419CE">
        <w:rPr>
          <w:szCs w:val="22"/>
        </w:rPr>
        <w:t>under what circumstances someone will be turned away</w:t>
      </w:r>
    </w:p>
    <w:p w14:paraId="7A0B898C" w14:textId="55E49455" w:rsidR="00955D78" w:rsidRPr="00A419CE" w:rsidRDefault="00955D78" w:rsidP="0028372E">
      <w:pPr>
        <w:pStyle w:val="BodyText"/>
        <w:numPr>
          <w:ilvl w:val="0"/>
          <w:numId w:val="19"/>
        </w:numPr>
        <w:spacing w:before="60"/>
        <w:rPr>
          <w:szCs w:val="22"/>
        </w:rPr>
      </w:pPr>
      <w:r w:rsidRPr="00A419CE">
        <w:rPr>
          <w:szCs w:val="22"/>
        </w:rPr>
        <w:t xml:space="preserve">what other services </w:t>
      </w:r>
      <w:r w:rsidR="008866EE" w:rsidRPr="00A419CE">
        <w:rPr>
          <w:szCs w:val="22"/>
        </w:rPr>
        <w:t>they</w:t>
      </w:r>
      <w:r w:rsidRPr="00A419CE">
        <w:rPr>
          <w:szCs w:val="22"/>
        </w:rPr>
        <w:t xml:space="preserve"> could refer clients to if necessary</w:t>
      </w:r>
    </w:p>
    <w:p w14:paraId="27A8C1C9" w14:textId="55B54B5C" w:rsidR="00955D78" w:rsidRPr="00A419CE" w:rsidRDefault="00955D78" w:rsidP="00BF4AC2">
      <w:pPr>
        <w:pStyle w:val="BodyText"/>
        <w:spacing w:before="60"/>
        <w:ind w:left="360"/>
        <w:rPr>
          <w:szCs w:val="22"/>
        </w:rPr>
      </w:pPr>
      <w:r w:rsidRPr="00A419CE">
        <w:rPr>
          <w:szCs w:val="22"/>
        </w:rPr>
        <w:t xml:space="preserve">If </w:t>
      </w:r>
      <w:r w:rsidR="004C46A4" w:rsidRPr="00A419CE">
        <w:rPr>
          <w:szCs w:val="22"/>
        </w:rPr>
        <w:t>the</w:t>
      </w:r>
      <w:r w:rsidRPr="00A419CE">
        <w:rPr>
          <w:szCs w:val="22"/>
        </w:rPr>
        <w:t xml:space="preserve"> project is a remodel of existing crisis or transitional accommodation, </w:t>
      </w:r>
      <w:r w:rsidR="00BF4AC2" w:rsidRPr="00A419CE">
        <w:rPr>
          <w:szCs w:val="22"/>
        </w:rPr>
        <w:t xml:space="preserve">they </w:t>
      </w:r>
      <w:r w:rsidRPr="00A419CE">
        <w:rPr>
          <w:szCs w:val="22"/>
        </w:rPr>
        <w:t xml:space="preserve">also: </w:t>
      </w:r>
    </w:p>
    <w:p w14:paraId="04927BB1" w14:textId="09D25AC6" w:rsidR="000C48F9" w:rsidRPr="00B858AF" w:rsidRDefault="00955D78" w:rsidP="00817C12">
      <w:pPr>
        <w:pStyle w:val="BodyText"/>
        <w:numPr>
          <w:ilvl w:val="0"/>
          <w:numId w:val="14"/>
        </w:numPr>
        <w:spacing w:before="60"/>
        <w:rPr>
          <w:szCs w:val="22"/>
        </w:rPr>
      </w:pPr>
      <w:r w:rsidRPr="00A419CE">
        <w:rPr>
          <w:szCs w:val="22"/>
        </w:rPr>
        <w:t>provide</w:t>
      </w:r>
      <w:r w:rsidR="004C46A4" w:rsidRPr="00A419CE">
        <w:rPr>
          <w:szCs w:val="22"/>
        </w:rPr>
        <w:t>d</w:t>
      </w:r>
      <w:r w:rsidRPr="00A419CE">
        <w:rPr>
          <w:szCs w:val="22"/>
        </w:rPr>
        <w:t xml:space="preserve"> details on how clients in the existing accommodation will be supported while remodelling takes place (noting </w:t>
      </w:r>
      <w:r w:rsidR="004C46A4" w:rsidRPr="00A419CE">
        <w:rPr>
          <w:szCs w:val="22"/>
        </w:rPr>
        <w:t xml:space="preserve">the </w:t>
      </w:r>
      <w:r w:rsidRPr="00A419CE">
        <w:rPr>
          <w:szCs w:val="22"/>
        </w:rPr>
        <w:t>remodelling</w:t>
      </w:r>
      <w:r w:rsidR="004C46A4" w:rsidRPr="00A419CE">
        <w:rPr>
          <w:szCs w:val="22"/>
        </w:rPr>
        <w:t xml:space="preserve"> must </w:t>
      </w:r>
      <w:r w:rsidRPr="00A419CE">
        <w:rPr>
          <w:szCs w:val="22"/>
        </w:rPr>
        <w:t>result in an increase to crisis or transitional accommodation stock as per section 5.1)</w:t>
      </w:r>
      <w:r w:rsidR="00D11B1C" w:rsidRPr="00A419CE">
        <w:rPr>
          <w:szCs w:val="22"/>
        </w:rPr>
        <w:t>.</w:t>
      </w:r>
    </w:p>
    <w:p w14:paraId="56E330EC" w14:textId="3C2D849B" w:rsidR="000C48F9" w:rsidRPr="0028372E" w:rsidRDefault="00817C12" w:rsidP="00817C12">
      <w:pPr>
        <w:pStyle w:val="Default"/>
        <w:rPr>
          <w:color w:val="C00000"/>
          <w:sz w:val="22"/>
          <w:szCs w:val="22"/>
        </w:rPr>
      </w:pPr>
      <w:r w:rsidRPr="0028372E">
        <w:rPr>
          <w:color w:val="C00000"/>
          <w:sz w:val="22"/>
          <w:szCs w:val="22"/>
        </w:rPr>
        <w:lastRenderedPageBreak/>
        <w:t>Strong applications:</w:t>
      </w:r>
    </w:p>
    <w:p w14:paraId="00E105E0" w14:textId="29099E5F" w:rsidR="00AC7358" w:rsidRDefault="00AC7358" w:rsidP="00AC7358">
      <w:pPr>
        <w:pStyle w:val="BodyText"/>
        <w:numPr>
          <w:ilvl w:val="0"/>
          <w:numId w:val="14"/>
        </w:numPr>
        <w:spacing w:before="60"/>
      </w:pPr>
      <w:r w:rsidRPr="000812B3">
        <w:t xml:space="preserve">explained the applicant’s service delivery model in detail, including specific information on which services would be available to clients and which organisations would provide these </w:t>
      </w:r>
      <w:r w:rsidR="005C1CF4" w:rsidRPr="000812B3">
        <w:t>services.</w:t>
      </w:r>
    </w:p>
    <w:p w14:paraId="53AB1CE5" w14:textId="23449647" w:rsidR="00AC7358" w:rsidRPr="000812B3" w:rsidRDefault="00AC7358" w:rsidP="00AC7358">
      <w:pPr>
        <w:pStyle w:val="BodyText"/>
        <w:numPr>
          <w:ilvl w:val="0"/>
          <w:numId w:val="14"/>
        </w:numPr>
        <w:spacing w:before="60"/>
      </w:pPr>
      <w:r>
        <w:t xml:space="preserve">demonstrated convincingly that the service delivery model (including both internally and externally delivered services) would be trauma-informed, culturally appropriate, accessible, client-centred, and child </w:t>
      </w:r>
      <w:r w:rsidR="005C1CF4">
        <w:t>safe.</w:t>
      </w:r>
    </w:p>
    <w:p w14:paraId="668051B6" w14:textId="5B8258EC" w:rsidR="00AC7358" w:rsidRPr="000812B3" w:rsidRDefault="00AC7358" w:rsidP="00AC7358">
      <w:pPr>
        <w:pStyle w:val="BodyText"/>
        <w:numPr>
          <w:ilvl w:val="0"/>
          <w:numId w:val="14"/>
        </w:numPr>
        <w:spacing w:before="60"/>
      </w:pPr>
      <w:r w:rsidRPr="000812B3">
        <w:t xml:space="preserve">linked the services available to specific identified needs of the applicant’s client group and explained how these services would be delivered, for example whether they would be available on-site or </w:t>
      </w:r>
      <w:r w:rsidR="005C1CF4" w:rsidRPr="000812B3">
        <w:t>externally.</w:t>
      </w:r>
    </w:p>
    <w:p w14:paraId="63CB9439" w14:textId="63973A29" w:rsidR="00AC7358" w:rsidRPr="000812B3" w:rsidRDefault="00AC7358" w:rsidP="00AC7358">
      <w:pPr>
        <w:pStyle w:val="BodyText"/>
        <w:numPr>
          <w:ilvl w:val="0"/>
          <w:numId w:val="14"/>
        </w:numPr>
        <w:spacing w:before="60"/>
      </w:pPr>
      <w:r w:rsidRPr="000812B3">
        <w:t xml:space="preserve">provided specific details of how long clients would be able to remain in the accommodation and showed that clients would have comprehensive support in transitioning to longer-term accommodation and would not be exited into </w:t>
      </w:r>
      <w:r w:rsidR="005C1CF4" w:rsidRPr="000812B3">
        <w:t>homelessness.</w:t>
      </w:r>
    </w:p>
    <w:p w14:paraId="14023822" w14:textId="1E282FB1" w:rsidR="00AC7358" w:rsidRPr="000812B3" w:rsidRDefault="00AC7358" w:rsidP="00AC7358">
      <w:pPr>
        <w:pStyle w:val="BodyText"/>
        <w:numPr>
          <w:ilvl w:val="0"/>
          <w:numId w:val="14"/>
        </w:numPr>
        <w:spacing w:before="60"/>
      </w:pPr>
      <w:r w:rsidRPr="000812B3">
        <w:t xml:space="preserve">demonstrated clear guidelines around the circumstances under which someone would be turned </w:t>
      </w:r>
      <w:r w:rsidR="00092F77" w:rsidRPr="000812B3">
        <w:t>away and</w:t>
      </w:r>
      <w:r w:rsidRPr="000812B3">
        <w:t xml:space="preserve"> showed that clients who were not able to be supported by this project would be provided with appropriate support in seeking suitable accommodation, including examples of other services providers with which the applicant has a referral </w:t>
      </w:r>
      <w:r w:rsidR="005C1CF4" w:rsidRPr="000812B3">
        <w:t>relationship.</w:t>
      </w:r>
    </w:p>
    <w:p w14:paraId="343039A2" w14:textId="65F11081" w:rsidR="00AC7358" w:rsidRPr="000812B3" w:rsidRDefault="00AC7358" w:rsidP="00AC7358">
      <w:pPr>
        <w:pStyle w:val="BodyText"/>
        <w:numPr>
          <w:ilvl w:val="0"/>
          <w:numId w:val="14"/>
        </w:numPr>
        <w:spacing w:before="60"/>
      </w:pPr>
      <w:r w:rsidRPr="000812B3">
        <w:t>if relevant, described clear plans to support clients in the existing accommodation while remodelling takes place including identifying alternative appropriate accommodation, and explain</w:t>
      </w:r>
      <w:r>
        <w:t>ed</w:t>
      </w:r>
      <w:r w:rsidRPr="000812B3">
        <w:t xml:space="preserve"> how the applicant’s service delivery model would be adapted to ensure clients still have access to </w:t>
      </w:r>
      <w:r w:rsidR="005C1CF4" w:rsidRPr="000812B3">
        <w:t>services.</w:t>
      </w:r>
    </w:p>
    <w:p w14:paraId="4BF136C2" w14:textId="4AFE2DDA" w:rsidR="00817C12" w:rsidRPr="0028372E" w:rsidRDefault="00817C12" w:rsidP="00817C12">
      <w:pPr>
        <w:pStyle w:val="Heading3"/>
        <w:spacing w:before="120"/>
        <w:rPr>
          <w:color w:val="C00000"/>
          <w:sz w:val="24"/>
          <w:szCs w:val="24"/>
        </w:rPr>
      </w:pPr>
      <w:r w:rsidRPr="0028372E">
        <w:rPr>
          <w:color w:val="C00000"/>
          <w:sz w:val="24"/>
          <w:szCs w:val="24"/>
        </w:rPr>
        <w:t>Criterion 4</w:t>
      </w:r>
    </w:p>
    <w:p w14:paraId="27646663" w14:textId="51F9603D" w:rsidR="000B2F6A" w:rsidRDefault="009C2B9F" w:rsidP="000B2F6A">
      <w:pPr>
        <w:pStyle w:val="BodyText"/>
        <w:spacing w:before="60"/>
        <w:rPr>
          <w:b/>
          <w:bCs/>
        </w:rPr>
      </w:pPr>
      <w:r w:rsidRPr="0028372E">
        <w:rPr>
          <w:b/>
          <w:bCs/>
        </w:rPr>
        <w:t xml:space="preserve">Explain how your capital works plan offers value for </w:t>
      </w:r>
      <w:r w:rsidR="005C1CF4" w:rsidRPr="0028372E">
        <w:rPr>
          <w:b/>
          <w:bCs/>
        </w:rPr>
        <w:t>money.</w:t>
      </w:r>
    </w:p>
    <w:p w14:paraId="52C7D00A" w14:textId="407E349C" w:rsidR="00BF4AC2" w:rsidRPr="00A419CE" w:rsidRDefault="00BF4AC2" w:rsidP="000B2F6A">
      <w:pPr>
        <w:pStyle w:val="BodyText"/>
        <w:spacing w:before="60"/>
        <w:rPr>
          <w:bCs/>
          <w:szCs w:val="22"/>
        </w:rPr>
      </w:pPr>
      <w:r w:rsidRPr="00A419CE">
        <w:rPr>
          <w:szCs w:val="22"/>
        </w:rPr>
        <w:t>In addition to providing the mandatory Project Plan and Budget template, applicants:</w:t>
      </w:r>
    </w:p>
    <w:p w14:paraId="3FE23C40" w14:textId="62CA07B2" w:rsidR="00422C44" w:rsidRPr="00A419CE" w:rsidRDefault="00D023A1" w:rsidP="00422C44">
      <w:pPr>
        <w:pStyle w:val="BodyText"/>
        <w:numPr>
          <w:ilvl w:val="0"/>
          <w:numId w:val="18"/>
        </w:numPr>
        <w:spacing w:before="60"/>
        <w:ind w:left="709"/>
        <w:rPr>
          <w:bCs/>
        </w:rPr>
      </w:pPr>
      <w:r w:rsidRPr="00A419CE">
        <w:rPr>
          <w:bCs/>
        </w:rPr>
        <w:t>explain</w:t>
      </w:r>
      <w:r w:rsidR="00303AC7" w:rsidRPr="00A419CE">
        <w:rPr>
          <w:bCs/>
        </w:rPr>
        <w:t>ed</w:t>
      </w:r>
      <w:r w:rsidRPr="00A419CE">
        <w:rPr>
          <w:bCs/>
        </w:rPr>
        <w:t xml:space="preserve"> how </w:t>
      </w:r>
      <w:r w:rsidR="00303AC7" w:rsidRPr="00A419CE">
        <w:rPr>
          <w:bCs/>
        </w:rPr>
        <w:t>the</w:t>
      </w:r>
      <w:r w:rsidR="00BF4AC2" w:rsidRPr="00A419CE">
        <w:rPr>
          <w:bCs/>
        </w:rPr>
        <w:t>ir</w:t>
      </w:r>
      <w:r w:rsidRPr="00A419CE">
        <w:rPr>
          <w:bCs/>
        </w:rPr>
        <w:t xml:space="preserve"> capital works activities (building, purchase, and/or remodelling) provide value for money, considering:</w:t>
      </w:r>
    </w:p>
    <w:p w14:paraId="28207111" w14:textId="487EB493" w:rsidR="00BF0CBA" w:rsidRPr="00A419CE" w:rsidRDefault="00BF0CBA" w:rsidP="00BF0CBA">
      <w:pPr>
        <w:pStyle w:val="BodyText"/>
        <w:numPr>
          <w:ilvl w:val="0"/>
          <w:numId w:val="17"/>
        </w:numPr>
        <w:spacing w:before="60"/>
        <w:rPr>
          <w:bCs/>
        </w:rPr>
      </w:pPr>
      <w:r w:rsidRPr="00A419CE">
        <w:rPr>
          <w:bCs/>
        </w:rPr>
        <w:t xml:space="preserve">the location and availability of land/real estate in </w:t>
      </w:r>
      <w:r w:rsidR="00303AC7" w:rsidRPr="00A419CE">
        <w:rPr>
          <w:bCs/>
        </w:rPr>
        <w:t>the</w:t>
      </w:r>
      <w:r w:rsidRPr="00A419CE">
        <w:rPr>
          <w:bCs/>
        </w:rPr>
        <w:t xml:space="preserve"> area</w:t>
      </w:r>
    </w:p>
    <w:p w14:paraId="207969B3" w14:textId="138E720B" w:rsidR="00BF0CBA" w:rsidRPr="00A419CE" w:rsidRDefault="00BF0CBA" w:rsidP="00BF0CBA">
      <w:pPr>
        <w:pStyle w:val="BodyText"/>
        <w:numPr>
          <w:ilvl w:val="0"/>
          <w:numId w:val="17"/>
        </w:numPr>
        <w:spacing w:before="60"/>
        <w:rPr>
          <w:bCs/>
        </w:rPr>
      </w:pPr>
      <w:r w:rsidRPr="00A419CE">
        <w:rPr>
          <w:bCs/>
        </w:rPr>
        <w:t>the design of the accommodation</w:t>
      </w:r>
      <w:r w:rsidR="00DD0AD0" w:rsidRPr="00A419CE">
        <w:rPr>
          <w:bCs/>
        </w:rPr>
        <w:t xml:space="preserve"> and</w:t>
      </w:r>
    </w:p>
    <w:p w14:paraId="091C757F" w14:textId="105CE3C1" w:rsidR="00BF0CBA" w:rsidRPr="00A419CE" w:rsidRDefault="00402303" w:rsidP="001E2001">
      <w:pPr>
        <w:pStyle w:val="BodyText"/>
        <w:numPr>
          <w:ilvl w:val="0"/>
          <w:numId w:val="17"/>
        </w:numPr>
        <w:spacing w:before="60"/>
        <w:rPr>
          <w:bCs/>
        </w:rPr>
      </w:pPr>
      <w:r w:rsidRPr="00A419CE">
        <w:t xml:space="preserve">their </w:t>
      </w:r>
      <w:r w:rsidR="00BF0CBA" w:rsidRPr="00A419CE">
        <w:rPr>
          <w:bCs/>
        </w:rPr>
        <w:t>capital works approach, including use of project managers and relationships with building contractors.</w:t>
      </w:r>
    </w:p>
    <w:p w14:paraId="3EE8BDE3" w14:textId="77777777" w:rsidR="00817C12" w:rsidRPr="00817C12" w:rsidRDefault="00817C12" w:rsidP="00817C12">
      <w:pPr>
        <w:pStyle w:val="Default"/>
        <w:rPr>
          <w:color w:val="C00000"/>
          <w:sz w:val="22"/>
          <w:szCs w:val="22"/>
        </w:rPr>
      </w:pPr>
      <w:r w:rsidRPr="00817C12">
        <w:rPr>
          <w:color w:val="C00000"/>
          <w:sz w:val="22"/>
          <w:szCs w:val="22"/>
        </w:rPr>
        <w:t>Strong applications:</w:t>
      </w:r>
    </w:p>
    <w:p w14:paraId="645DA8EE" w14:textId="04CF80D4" w:rsidR="00AC1235" w:rsidRPr="00A419CE" w:rsidRDefault="00AC1235" w:rsidP="00AC1235">
      <w:pPr>
        <w:pStyle w:val="BodyText"/>
        <w:numPr>
          <w:ilvl w:val="0"/>
          <w:numId w:val="14"/>
        </w:numPr>
        <w:spacing w:before="60"/>
      </w:pPr>
      <w:r w:rsidRPr="00A419CE">
        <w:rPr>
          <w:rFonts w:ascii="Arial" w:eastAsia="Arial" w:hAnsi="Arial" w:cs="Arial"/>
          <w:color w:val="auto"/>
          <w:szCs w:val="22"/>
        </w:rPr>
        <w:t xml:space="preserve">provided clear and well-developed arguments for why the project represents value for money in that location, with reference to typical prices for similar land/property </w:t>
      </w:r>
      <w:r w:rsidR="005C1CF4" w:rsidRPr="00A419CE">
        <w:rPr>
          <w:rFonts w:ascii="Arial" w:eastAsia="Arial" w:hAnsi="Arial" w:cs="Arial"/>
          <w:color w:val="auto"/>
          <w:szCs w:val="22"/>
        </w:rPr>
        <w:t>nearby.</w:t>
      </w:r>
    </w:p>
    <w:p w14:paraId="78268F25" w14:textId="0925A594" w:rsidR="00AC1235" w:rsidRPr="00A419CE" w:rsidRDefault="00AC1235" w:rsidP="00AC1235">
      <w:pPr>
        <w:pStyle w:val="BodyText"/>
        <w:numPr>
          <w:ilvl w:val="0"/>
          <w:numId w:val="14"/>
        </w:numPr>
        <w:spacing w:before="60"/>
      </w:pPr>
      <w:r w:rsidRPr="00A419CE">
        <w:rPr>
          <w:rFonts w:ascii="Arial" w:eastAsia="Arial" w:hAnsi="Arial" w:cs="Arial"/>
          <w:color w:val="auto"/>
          <w:szCs w:val="22"/>
        </w:rPr>
        <w:t xml:space="preserve">explained why the estimated cost of the project represents </w:t>
      </w:r>
      <w:r w:rsidR="00F401BD" w:rsidRPr="00A419CE">
        <w:rPr>
          <w:rFonts w:ascii="Arial" w:eastAsia="Arial" w:hAnsi="Arial" w:cs="Arial"/>
          <w:color w:val="auto"/>
          <w:szCs w:val="22"/>
        </w:rPr>
        <w:t>excellent value</w:t>
      </w:r>
      <w:r w:rsidRPr="00A419CE">
        <w:rPr>
          <w:rFonts w:ascii="Arial" w:eastAsia="Arial" w:hAnsi="Arial" w:cs="Arial"/>
          <w:color w:val="auto"/>
          <w:szCs w:val="22"/>
        </w:rPr>
        <w:t xml:space="preserve"> for money for that type of design, noting features that increase the cost of the project and showing that the costs provided are realistic and </w:t>
      </w:r>
      <w:r w:rsidR="005C1CF4" w:rsidRPr="00A419CE">
        <w:rPr>
          <w:rFonts w:ascii="Arial" w:eastAsia="Arial" w:hAnsi="Arial" w:cs="Arial"/>
          <w:color w:val="auto"/>
          <w:szCs w:val="22"/>
        </w:rPr>
        <w:t>appropriate.</w:t>
      </w:r>
    </w:p>
    <w:p w14:paraId="7A4E72BA" w14:textId="17A3270D" w:rsidR="00AC1235" w:rsidRPr="00A419CE" w:rsidRDefault="00AC1235" w:rsidP="00AC1235">
      <w:pPr>
        <w:pStyle w:val="BodyText"/>
        <w:numPr>
          <w:ilvl w:val="0"/>
          <w:numId w:val="14"/>
        </w:numPr>
        <w:spacing w:before="60"/>
      </w:pPr>
      <w:r w:rsidRPr="00A419CE">
        <w:t xml:space="preserve">described in detail the applicant’s approach to project management and its relationships with building contractors who have experience in the type of capital works relevant to the project, giving confidence that the applicant would be able to manage risks </w:t>
      </w:r>
      <w:r w:rsidR="005E4571" w:rsidRPr="00A419CE">
        <w:t>appropriately.</w:t>
      </w:r>
    </w:p>
    <w:p w14:paraId="2E94462D" w14:textId="6F299EDE" w:rsidR="00AC1235" w:rsidRPr="00A419CE" w:rsidRDefault="00AC1235" w:rsidP="00AC1235">
      <w:pPr>
        <w:pStyle w:val="BodyText"/>
        <w:numPr>
          <w:ilvl w:val="0"/>
          <w:numId w:val="14"/>
        </w:numPr>
        <w:spacing w:before="60"/>
      </w:pPr>
      <w:r w:rsidRPr="00A419CE">
        <w:t xml:space="preserve">provided consistent information across the criteria responses and the Capital Works Project Plan and Budget </w:t>
      </w:r>
      <w:r w:rsidR="005E4571" w:rsidRPr="00A419CE">
        <w:t>template.</w:t>
      </w:r>
    </w:p>
    <w:p w14:paraId="7649DA0C" w14:textId="0AC2555F" w:rsidR="0032204D" w:rsidRPr="00817C12" w:rsidRDefault="0032204D" w:rsidP="00817C12">
      <w:pPr>
        <w:pStyle w:val="Heading2"/>
        <w:spacing w:before="120"/>
        <w:rPr>
          <w:color w:val="C00000"/>
          <w:sz w:val="28"/>
          <w:szCs w:val="28"/>
        </w:rPr>
      </w:pPr>
      <w:r w:rsidRPr="00817C12">
        <w:rPr>
          <w:color w:val="C00000"/>
          <w:sz w:val="28"/>
          <w:szCs w:val="28"/>
        </w:rPr>
        <w:lastRenderedPageBreak/>
        <w:t>Individual feedback</w:t>
      </w:r>
    </w:p>
    <w:p w14:paraId="01C2E65D" w14:textId="28DAFBFD" w:rsidR="0032204D" w:rsidRDefault="0032204D" w:rsidP="0032204D">
      <w:pPr>
        <w:pStyle w:val="BodyText"/>
        <w:rPr>
          <w:color w:val="auto"/>
        </w:rPr>
      </w:pPr>
      <w:r w:rsidRPr="00422C44">
        <w:rPr>
          <w:color w:val="auto"/>
        </w:rPr>
        <w:t xml:space="preserve">Individual feedback will be provided for this grant opportunity. To request individual feedback please follow the instructions as set out in the Grant Opportunity Guidelines section </w:t>
      </w:r>
      <w:r w:rsidR="0023174C" w:rsidRPr="00422C44">
        <w:rPr>
          <w:color w:val="auto"/>
        </w:rPr>
        <w:t>9.1</w:t>
      </w:r>
      <w:r w:rsidRPr="00422C44">
        <w:rPr>
          <w:color w:val="auto"/>
        </w:rPr>
        <w:t>.</w:t>
      </w:r>
    </w:p>
    <w:sectPr w:rsidR="0032204D" w:rsidSect="009C2B9F">
      <w:headerReference w:type="even" r:id="rId9"/>
      <w:headerReference w:type="default" r:id="rId10"/>
      <w:footerReference w:type="even" r:id="rId11"/>
      <w:footerReference w:type="default" r:id="rId12"/>
      <w:headerReference w:type="first" r:id="rId13"/>
      <w:footerReference w:type="first" r:id="rId14"/>
      <w:pgSz w:w="11906" w:h="16838" w:code="9"/>
      <w:pgMar w:top="1361" w:right="1134" w:bottom="1021" w:left="1134" w:header="102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B4D4" w14:textId="77777777" w:rsidR="00B2437C" w:rsidRDefault="00B2437C" w:rsidP="00772718">
      <w:pPr>
        <w:spacing w:line="240" w:lineRule="auto"/>
      </w:pPr>
      <w:r>
        <w:separator/>
      </w:r>
    </w:p>
  </w:endnote>
  <w:endnote w:type="continuationSeparator" w:id="0">
    <w:p w14:paraId="4EEC740C" w14:textId="77777777" w:rsidR="00B2437C" w:rsidRDefault="00B2437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95FE" w14:textId="55767B88" w:rsidR="00525DD1" w:rsidRDefault="00525DD1">
    <w:pPr>
      <w:pStyle w:val="Footer"/>
    </w:pPr>
    <w:r>
      <w:rPr>
        <w:noProof/>
      </w:rPr>
      <mc:AlternateContent>
        <mc:Choice Requires="wps">
          <w:drawing>
            <wp:anchor distT="0" distB="0" distL="114300" distR="114300" simplePos="0" relativeHeight="251677696" behindDoc="0" locked="1" layoutInCell="0" allowOverlap="1" wp14:anchorId="3D6DE214" wp14:editId="628CBB61">
              <wp:simplePos x="0" y="0"/>
              <wp:positionH relativeFrom="margin">
                <wp:align>center</wp:align>
              </wp:positionH>
              <wp:positionV relativeFrom="bottomMargin">
                <wp:align>center</wp:align>
              </wp:positionV>
              <wp:extent cx="875665" cy="275590"/>
              <wp:effectExtent l="0" t="0" r="0" b="0"/>
              <wp:wrapNone/>
              <wp:docPr id="1895600373"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2E0BC" w14:textId="5025DC3B"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6DE214" id="_x0000_t202" coordsize="21600,21600" o:spt="202" path="m,l,21600r21600,l21600,xe">
              <v:stroke joinstyle="miter"/>
              <v:path gradientshapeok="t" o:connecttype="rect"/>
            </v:shapetype>
            <v:shape id="janusSEAL SC F_EvenPage" o:spid="_x0000_s1028" type="#_x0000_t202" style="position:absolute;margin-left:0;margin-top:0;width:68.95pt;height:21.7pt;z-index:2516776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b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2FXZzH2EJ1xOkc9MR7y1cN9rBm&#10;Prwyh0zjQKje8IKLVIC14GRRUoP79bf7GI8EoJeSFpVTUoPSpkT9MEjM/WgyiUJLh0k+G+PB3Xq2&#10;tx6z14+A0hzhL7E8mTE+qLMpHeh3lPgy1kQXMxwrlzSczcfQqxm/CBfLZQpCaVkW1mZjeUwdMY34&#10;vnXvzNkTCQHZe4azwljxgYs+Nr70drkPyEgiKqLcY3oCH2WZ+Dt9oaj723OKun70xW8A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SZSBGxoCAAAwBAAADgAAAAAAAAAAAAAAAAAuAgAAZHJzL2Uyb0RvYy54bWxQSwECLQAUAAYA&#10;CAAAACEAqnCLhdsAAAAEAQAADwAAAAAAAAAAAAAAAAB0BAAAZHJzL2Rvd25yZXYueG1sUEsFBgAA&#10;AAAEAAQA8wAAAHwFAAAAAA==&#10;" o:allowincell="f" filled="f" stroked="f" strokeweight=".5pt">
              <v:textbox style="mso-fit-shape-to-text:t">
                <w:txbxContent>
                  <w:p w14:paraId="06C2E0BC" w14:textId="5025DC3B"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DBEE" w14:textId="35E90570" w:rsidR="00A14495" w:rsidRDefault="00525DD1">
    <w:pPr>
      <w:pStyle w:val="Footer"/>
    </w:pPr>
    <w:r>
      <w:rPr>
        <w:noProof/>
      </w:rPr>
      <mc:AlternateContent>
        <mc:Choice Requires="wps">
          <w:drawing>
            <wp:anchor distT="0" distB="0" distL="114300" distR="114300" simplePos="0" relativeHeight="251675648" behindDoc="0" locked="1" layoutInCell="0" allowOverlap="1" wp14:anchorId="41439DF9" wp14:editId="2F19C325">
              <wp:simplePos x="0" y="0"/>
              <wp:positionH relativeFrom="margin">
                <wp:align>center</wp:align>
              </wp:positionH>
              <wp:positionV relativeFrom="bottomMargin">
                <wp:align>center</wp:align>
              </wp:positionV>
              <wp:extent cx="875665" cy="275590"/>
              <wp:effectExtent l="0" t="0" r="0" b="0"/>
              <wp:wrapNone/>
              <wp:docPr id="788689329" name="janusSEAL SC Foot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D026" w14:textId="27127D8F"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439DF9" id="_x0000_t202" coordsize="21600,21600" o:spt="202" path="m,l,21600r21600,l21600,xe">
              <v:stroke joinstyle="miter"/>
              <v:path gradientshapeok="t" o:connecttype="rect"/>
            </v:shapetype>
            <v:shape id="janusSEAL SC Footer" o:spid="_x0000_s1029" type="#_x0000_t202" style="position:absolute;margin-left:0;margin-top:0;width:68.95pt;height:21.7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7B71D026" w14:textId="27127D8F"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r w:rsidR="00E13525">
      <w:fldChar w:fldCharType="begin"/>
    </w:r>
    <w:r w:rsidR="00E13525">
      <w:instrText xml:space="preserve"> PAGE   \* MERGEFORMAT </w:instrText>
    </w:r>
    <w:r w:rsidR="00E13525">
      <w:fldChar w:fldCharType="separate"/>
    </w:r>
    <w:r w:rsidR="00C80477">
      <w:rPr>
        <w:noProof/>
      </w:rPr>
      <w:t>2</w:t>
    </w:r>
    <w:r w:rsidR="00E13525">
      <w:fldChar w:fldCharType="end"/>
    </w:r>
    <w:r w:rsidR="00E13525">
      <w:t xml:space="preserve">  </w:t>
    </w:r>
    <w:r w:rsidR="00D06EAD">
      <w:t xml:space="preserve">| </w:t>
    </w:r>
    <w:r w:rsidR="00E13525" w:rsidRPr="00A454BF">
      <w:t>Community Grants Hub</w:t>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45BB" w14:textId="3FC75EF4" w:rsidR="00D91B18" w:rsidRDefault="00525DD1">
    <w:pPr>
      <w:pStyle w:val="Footer"/>
    </w:pPr>
    <w:r>
      <w:rPr>
        <w:noProof/>
      </w:rPr>
      <mc:AlternateContent>
        <mc:Choice Requires="wps">
          <w:drawing>
            <wp:anchor distT="0" distB="0" distL="114300" distR="114300" simplePos="0" relativeHeight="251676672" behindDoc="0" locked="1" layoutInCell="0" allowOverlap="1" wp14:anchorId="425FBE7C" wp14:editId="0B678BC7">
              <wp:simplePos x="0" y="0"/>
              <wp:positionH relativeFrom="margin">
                <wp:align>center</wp:align>
              </wp:positionH>
              <wp:positionV relativeFrom="bottomMargin">
                <wp:align>center</wp:align>
              </wp:positionV>
              <wp:extent cx="875665" cy="275590"/>
              <wp:effectExtent l="0" t="0" r="0" b="0"/>
              <wp:wrapNone/>
              <wp:docPr id="1395929318" name="janusSEAL SC F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01430" w14:textId="6499277C"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5FBE7C" id="_x0000_t202" coordsize="21600,21600" o:spt="202" path="m,l,21600r21600,l21600,xe">
              <v:stroke joinstyle="miter"/>
              <v:path gradientshapeok="t" o:connecttype="rect"/>
            </v:shapetype>
            <v:shape id="janusSEAL SC F_FirstPage" o:spid="_x0000_s1030"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0DF01430" w14:textId="6499277C"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r w:rsidR="00D91B18">
      <w:fldChar w:fldCharType="begin"/>
    </w:r>
    <w:r w:rsidR="00D91B18">
      <w:instrText xml:space="preserve"> PAGE   \* MERGEFORMAT </w:instrText>
    </w:r>
    <w:r w:rsidR="00D91B18">
      <w:fldChar w:fldCharType="separate"/>
    </w:r>
    <w:r w:rsidR="00C80477">
      <w:rPr>
        <w:noProof/>
      </w:rPr>
      <w:t>1</w:t>
    </w:r>
    <w:r w:rsidR="00D91B18">
      <w:fldChar w:fldCharType="end"/>
    </w:r>
    <w:r w:rsidR="00D91B18">
      <w:t xml:space="preserve">  </w:t>
    </w:r>
    <w:r w:rsidR="00D06EAD">
      <w:t xml:space="preserve">| </w:t>
    </w:r>
    <w:r w:rsidR="00D91B18"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A5EA" w14:textId="77777777" w:rsidR="00B2437C" w:rsidRDefault="00B2437C" w:rsidP="00772718">
      <w:pPr>
        <w:spacing w:line="240" w:lineRule="auto"/>
      </w:pPr>
      <w:r>
        <w:separator/>
      </w:r>
    </w:p>
  </w:footnote>
  <w:footnote w:type="continuationSeparator" w:id="0">
    <w:p w14:paraId="29B6B4B6" w14:textId="77777777" w:rsidR="00B2437C" w:rsidRDefault="00B2437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0891" w14:textId="04826FA8" w:rsidR="00525DD1" w:rsidRDefault="00525DD1">
    <w:pPr>
      <w:pStyle w:val="Header"/>
    </w:pPr>
    <w:r>
      <w:rPr>
        <w:noProof/>
      </w:rPr>
      <mc:AlternateContent>
        <mc:Choice Requires="wps">
          <w:drawing>
            <wp:anchor distT="0" distB="0" distL="114300" distR="114300" simplePos="0" relativeHeight="251674624" behindDoc="0" locked="1" layoutInCell="0" allowOverlap="1" wp14:anchorId="1B0220C7" wp14:editId="0426671D">
              <wp:simplePos x="0" y="0"/>
              <wp:positionH relativeFrom="margin">
                <wp:align>center</wp:align>
              </wp:positionH>
              <wp:positionV relativeFrom="topMargin">
                <wp:align>center</wp:align>
              </wp:positionV>
              <wp:extent cx="875665" cy="275590"/>
              <wp:effectExtent l="0" t="0" r="0" b="0"/>
              <wp:wrapNone/>
              <wp:docPr id="1773074128"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57A72" w14:textId="6F7D25A3"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0220C7"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69157A72" w14:textId="6F7D25A3"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57E7" w14:textId="1AA53489" w:rsidR="00A14495" w:rsidRDefault="00525DD1">
    <w:pPr>
      <w:pStyle w:val="Header"/>
    </w:pPr>
    <w:r>
      <w:rPr>
        <w:noProof/>
        <w:lang w:eastAsia="en-AU"/>
      </w:rPr>
      <mc:AlternateContent>
        <mc:Choice Requires="wps">
          <w:drawing>
            <wp:anchor distT="0" distB="0" distL="114300" distR="114300" simplePos="0" relativeHeight="251672576" behindDoc="0" locked="1" layoutInCell="0" allowOverlap="1" wp14:anchorId="4BDA6E9C" wp14:editId="6C4B9623">
              <wp:simplePos x="0" y="0"/>
              <wp:positionH relativeFrom="margin">
                <wp:align>center</wp:align>
              </wp:positionH>
              <wp:positionV relativeFrom="topMargin">
                <wp:align>center</wp:align>
              </wp:positionV>
              <wp:extent cx="875665" cy="275590"/>
              <wp:effectExtent l="0" t="0" r="0" b="0"/>
              <wp:wrapNone/>
              <wp:docPr id="1939859270" name="janusSEAL SC Head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wps:spPr>
                    <wps:txbx>
                      <w:txbxContent>
                        <w:p w14:paraId="4FF869CA" w14:textId="6501765B"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DA6E9C" id="_x0000_t202" coordsize="21600,21600" o:spt="202" path="m,l,21600r21600,l21600,xe">
              <v:stroke joinstyle="miter"/>
              <v:path gradientshapeok="t" o:connecttype="rect"/>
            </v:shapetype>
            <v:shape id="janusSEAL SC Header" o:spid="_x0000_s1027" type="#_x0000_t202" style="position:absolute;margin-left:0;margin-top:0;width:68.95pt;height:21.7pt;z-index:2516725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4FF869CA" w14:textId="6501765B" w:rsidR="00525DD1" w:rsidRPr="00525DD1" w:rsidRDefault="00525DD1" w:rsidP="00511CA7">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511CA7">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534B" w14:textId="421D3980" w:rsidR="00525DD1" w:rsidRDefault="00525DD1" w:rsidP="00525DD1">
    <w:pPr>
      <w:pStyle w:val="Header"/>
      <w:pBdr>
        <w:bottom w:val="single" w:sz="4" w:space="1" w:color="auto"/>
      </w:pBdr>
    </w:pPr>
    <w:r>
      <w:rPr>
        <w:noProof/>
        <w:lang w:eastAsia="en-AU"/>
      </w:rPr>
      <w:drawing>
        <wp:anchor distT="0" distB="0" distL="114300" distR="114300" simplePos="0" relativeHeight="251671552" behindDoc="1" locked="0" layoutInCell="1" allowOverlap="1" wp14:anchorId="350B6741" wp14:editId="7633B95D">
          <wp:simplePos x="0" y="0"/>
          <wp:positionH relativeFrom="column">
            <wp:posOffset>32385</wp:posOffset>
          </wp:positionH>
          <wp:positionV relativeFrom="paragraph">
            <wp:posOffset>38100</wp:posOffset>
          </wp:positionV>
          <wp:extent cx="6119495" cy="942975"/>
          <wp:effectExtent l="0" t="0" r="0" b="9525"/>
          <wp:wrapThrough wrapText="bothSides">
            <wp:wrapPolygon edited="0">
              <wp:start x="0" y="0"/>
              <wp:lineTo x="0" y="21382"/>
              <wp:lineTo x="21517" y="21382"/>
              <wp:lineTo x="21517" y="0"/>
              <wp:lineTo x="0" y="0"/>
            </wp:wrapPolygon>
          </wp:wrapThrough>
          <wp:docPr id="1938553867" name="Picture 1" descr="Australian Government and Community Grants Hu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53867" name="Picture 1" descr="Australian Government and Community Grants Hub logos"/>
                  <pic:cNvPicPr/>
                </pic:nvPicPr>
                <pic:blipFill>
                  <a:blip r:embed="rId1"/>
                  <a:stretch>
                    <a:fillRect/>
                  </a:stretch>
                </pic:blipFill>
                <pic:spPr>
                  <a:xfrm>
                    <a:off x="0" y="0"/>
                    <a:ext cx="6119495" cy="942975"/>
                  </a:xfrm>
                  <a:prstGeom prst="rect">
                    <a:avLst/>
                  </a:prstGeom>
                </pic:spPr>
              </pic:pic>
            </a:graphicData>
          </a:graphic>
          <wp14:sizeRelH relativeFrom="margin">
            <wp14:pctWidth>0</wp14:pctWidth>
          </wp14:sizeRelH>
          <wp14:sizeRelV relativeFrom="margin">
            <wp14:pctHeight>0</wp14:pctHeight>
          </wp14:sizeRelV>
        </wp:anchor>
      </w:drawing>
    </w:r>
  </w:p>
  <w:p w14:paraId="408E419C" w14:textId="50A5F746" w:rsidR="00D91B18" w:rsidRDefault="00D91B18">
    <w:pPr>
      <w:pStyle w:val="Header"/>
    </w:pPr>
    <w:r>
      <w:rPr>
        <w:noProof/>
        <w:lang w:eastAsia="en-AU"/>
      </w:rPr>
      <mc:AlternateContent>
        <mc:Choice Requires="wps">
          <w:drawing>
            <wp:anchor distT="0" distB="0" distL="114300" distR="114300" simplePos="0" relativeHeight="251669504" behindDoc="0" locked="1" layoutInCell="1" allowOverlap="1" wp14:anchorId="7B2DE097" wp14:editId="06AEC305">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3216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F6723A2"/>
    <w:multiLevelType w:val="hybridMultilevel"/>
    <w:tmpl w:val="531E3F66"/>
    <w:lvl w:ilvl="0" w:tplc="BC42C0FC">
      <w:start w:val="1"/>
      <w:numFmt w:val="bullet"/>
      <w:lvlText w:val="­"/>
      <w:lvlJc w:val="left"/>
      <w:pPr>
        <w:ind w:left="1440" w:hanging="360"/>
      </w:pPr>
      <w:rPr>
        <w:rFonts w:ascii="Work Sans Medium" w:hAnsi="Work Sans Medium"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7EE0160"/>
    <w:multiLevelType w:val="hybridMultilevel"/>
    <w:tmpl w:val="F2368E8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A39AF"/>
    <w:multiLevelType w:val="hybridMultilevel"/>
    <w:tmpl w:val="38486FA0"/>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FE914B2"/>
    <w:multiLevelType w:val="hybridMultilevel"/>
    <w:tmpl w:val="26784C68"/>
    <w:lvl w:ilvl="0" w:tplc="987A1BCE">
      <w:start w:val="2"/>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AD7137F"/>
    <w:multiLevelType w:val="hybridMultilevel"/>
    <w:tmpl w:val="9A64558C"/>
    <w:lvl w:ilvl="0" w:tplc="92040CE4">
      <w:start w:val="1"/>
      <w:numFmt w:val="bullet"/>
      <w:lvlText w:val=""/>
      <w:lvlJc w:val="left"/>
      <w:pPr>
        <w:ind w:left="1080" w:hanging="360"/>
      </w:pPr>
      <w:rPr>
        <w:rFonts w:ascii="Wingdings" w:hAnsi="Wingdings" w:hint="default"/>
        <w:color w:val="264F9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407356">
    <w:abstractNumId w:val="0"/>
  </w:num>
  <w:num w:numId="2" w16cid:durableId="701394891">
    <w:abstractNumId w:val="17"/>
  </w:num>
  <w:num w:numId="3" w16cid:durableId="222526132">
    <w:abstractNumId w:val="4"/>
  </w:num>
  <w:num w:numId="4" w16cid:durableId="588471040">
    <w:abstractNumId w:val="12"/>
  </w:num>
  <w:num w:numId="5" w16cid:durableId="1977449873">
    <w:abstractNumId w:val="10"/>
  </w:num>
  <w:num w:numId="6" w16cid:durableId="703872851">
    <w:abstractNumId w:val="9"/>
  </w:num>
  <w:num w:numId="7" w16cid:durableId="902377665">
    <w:abstractNumId w:val="5"/>
  </w:num>
  <w:num w:numId="8" w16cid:durableId="192115110">
    <w:abstractNumId w:val="15"/>
  </w:num>
  <w:num w:numId="9" w16cid:durableId="1525173105">
    <w:abstractNumId w:val="13"/>
  </w:num>
  <w:num w:numId="10" w16cid:durableId="1194541742">
    <w:abstractNumId w:val="2"/>
  </w:num>
  <w:num w:numId="11" w16cid:durableId="2042974972">
    <w:abstractNumId w:val="6"/>
  </w:num>
  <w:num w:numId="12" w16cid:durableId="1816677711">
    <w:abstractNumId w:val="2"/>
  </w:num>
  <w:num w:numId="13" w16cid:durableId="189076335">
    <w:abstractNumId w:val="18"/>
  </w:num>
  <w:num w:numId="14" w16cid:durableId="1977373658">
    <w:abstractNumId w:val="8"/>
  </w:num>
  <w:num w:numId="15" w16cid:durableId="2055152587">
    <w:abstractNumId w:val="3"/>
  </w:num>
  <w:num w:numId="16" w16cid:durableId="289480834">
    <w:abstractNumId w:val="14"/>
  </w:num>
  <w:num w:numId="17" w16cid:durableId="1829050988">
    <w:abstractNumId w:val="11"/>
  </w:num>
  <w:num w:numId="18" w16cid:durableId="81217870">
    <w:abstractNumId w:val="16"/>
  </w:num>
  <w:num w:numId="19" w16cid:durableId="1273512280">
    <w:abstractNumId w:val="1"/>
  </w:num>
  <w:num w:numId="20" w16cid:durableId="2121410522">
    <w:abstractNumId w:val="8"/>
  </w:num>
  <w:num w:numId="21" w16cid:durableId="2031292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2A5A"/>
    <w:rsid w:val="00004A79"/>
    <w:rsid w:val="00007DE9"/>
    <w:rsid w:val="00015AE4"/>
    <w:rsid w:val="0002288E"/>
    <w:rsid w:val="000255CB"/>
    <w:rsid w:val="0003018E"/>
    <w:rsid w:val="00030C4C"/>
    <w:rsid w:val="00032C88"/>
    <w:rsid w:val="00033BC3"/>
    <w:rsid w:val="00037903"/>
    <w:rsid w:val="00044E09"/>
    <w:rsid w:val="000455E3"/>
    <w:rsid w:val="0004784D"/>
    <w:rsid w:val="000531AB"/>
    <w:rsid w:val="000535A3"/>
    <w:rsid w:val="00053A00"/>
    <w:rsid w:val="00053DC5"/>
    <w:rsid w:val="000549EA"/>
    <w:rsid w:val="000551F5"/>
    <w:rsid w:val="00055490"/>
    <w:rsid w:val="00056F78"/>
    <w:rsid w:val="00070FB3"/>
    <w:rsid w:val="00073A1E"/>
    <w:rsid w:val="000769DF"/>
    <w:rsid w:val="000775ED"/>
    <w:rsid w:val="00082370"/>
    <w:rsid w:val="000915AE"/>
    <w:rsid w:val="00092F77"/>
    <w:rsid w:val="000A57BC"/>
    <w:rsid w:val="000B2F6A"/>
    <w:rsid w:val="000B6C00"/>
    <w:rsid w:val="000C1F06"/>
    <w:rsid w:val="000C48F9"/>
    <w:rsid w:val="000D5EA1"/>
    <w:rsid w:val="000E3C6F"/>
    <w:rsid w:val="000F1DD1"/>
    <w:rsid w:val="000F28B8"/>
    <w:rsid w:val="000F3766"/>
    <w:rsid w:val="00100880"/>
    <w:rsid w:val="00106FC4"/>
    <w:rsid w:val="00111F0C"/>
    <w:rsid w:val="00120B80"/>
    <w:rsid w:val="00125289"/>
    <w:rsid w:val="001349C6"/>
    <w:rsid w:val="00137395"/>
    <w:rsid w:val="00145E2D"/>
    <w:rsid w:val="00147AF3"/>
    <w:rsid w:val="0016612C"/>
    <w:rsid w:val="001763D4"/>
    <w:rsid w:val="00181433"/>
    <w:rsid w:val="001834DD"/>
    <w:rsid w:val="00191BCF"/>
    <w:rsid w:val="00197308"/>
    <w:rsid w:val="001C53CE"/>
    <w:rsid w:val="001C5D96"/>
    <w:rsid w:val="001D23B7"/>
    <w:rsid w:val="001D341B"/>
    <w:rsid w:val="001E2001"/>
    <w:rsid w:val="001E3D2B"/>
    <w:rsid w:val="001E5415"/>
    <w:rsid w:val="001E66CE"/>
    <w:rsid w:val="001E77D0"/>
    <w:rsid w:val="001F0C00"/>
    <w:rsid w:val="001F5567"/>
    <w:rsid w:val="001F6BE5"/>
    <w:rsid w:val="0020021F"/>
    <w:rsid w:val="00221DC2"/>
    <w:rsid w:val="002277D8"/>
    <w:rsid w:val="00230D18"/>
    <w:rsid w:val="0023174C"/>
    <w:rsid w:val="002429D3"/>
    <w:rsid w:val="00243004"/>
    <w:rsid w:val="00244B48"/>
    <w:rsid w:val="00254EE2"/>
    <w:rsid w:val="002567B0"/>
    <w:rsid w:val="00256CDA"/>
    <w:rsid w:val="002573D5"/>
    <w:rsid w:val="002600F2"/>
    <w:rsid w:val="00264E26"/>
    <w:rsid w:val="00270E04"/>
    <w:rsid w:val="00280E74"/>
    <w:rsid w:val="0028372E"/>
    <w:rsid w:val="002841BC"/>
    <w:rsid w:val="00284E4B"/>
    <w:rsid w:val="0028587F"/>
    <w:rsid w:val="00295B78"/>
    <w:rsid w:val="002A41E1"/>
    <w:rsid w:val="002A6683"/>
    <w:rsid w:val="002B6574"/>
    <w:rsid w:val="002D3419"/>
    <w:rsid w:val="002D36C9"/>
    <w:rsid w:val="002D4D48"/>
    <w:rsid w:val="002D6405"/>
    <w:rsid w:val="002E0AA1"/>
    <w:rsid w:val="002E1CCC"/>
    <w:rsid w:val="002E21D2"/>
    <w:rsid w:val="002F6403"/>
    <w:rsid w:val="002F777D"/>
    <w:rsid w:val="002F7D3C"/>
    <w:rsid w:val="00302D5E"/>
    <w:rsid w:val="00303AC7"/>
    <w:rsid w:val="00305720"/>
    <w:rsid w:val="0031098A"/>
    <w:rsid w:val="003131AB"/>
    <w:rsid w:val="003217BE"/>
    <w:rsid w:val="0032204D"/>
    <w:rsid w:val="0034044F"/>
    <w:rsid w:val="00340848"/>
    <w:rsid w:val="00352EE6"/>
    <w:rsid w:val="00355FF2"/>
    <w:rsid w:val="0035639D"/>
    <w:rsid w:val="003659D2"/>
    <w:rsid w:val="00376001"/>
    <w:rsid w:val="00383D18"/>
    <w:rsid w:val="003840FD"/>
    <w:rsid w:val="003A0165"/>
    <w:rsid w:val="003A17CA"/>
    <w:rsid w:val="003B32C2"/>
    <w:rsid w:val="003B412F"/>
    <w:rsid w:val="003B5410"/>
    <w:rsid w:val="003D0647"/>
    <w:rsid w:val="003D1265"/>
    <w:rsid w:val="003D255E"/>
    <w:rsid w:val="003D3B1D"/>
    <w:rsid w:val="003D4B2C"/>
    <w:rsid w:val="003D5DBE"/>
    <w:rsid w:val="003E01D1"/>
    <w:rsid w:val="003F2B7F"/>
    <w:rsid w:val="003F41BB"/>
    <w:rsid w:val="00400BAD"/>
    <w:rsid w:val="00402303"/>
    <w:rsid w:val="0040437A"/>
    <w:rsid w:val="00404841"/>
    <w:rsid w:val="00410238"/>
    <w:rsid w:val="00412059"/>
    <w:rsid w:val="00422C44"/>
    <w:rsid w:val="00422E02"/>
    <w:rsid w:val="00425633"/>
    <w:rsid w:val="00441E79"/>
    <w:rsid w:val="00444032"/>
    <w:rsid w:val="0044643A"/>
    <w:rsid w:val="00450486"/>
    <w:rsid w:val="00454EB4"/>
    <w:rsid w:val="00461BE1"/>
    <w:rsid w:val="00464243"/>
    <w:rsid w:val="004709E9"/>
    <w:rsid w:val="00472379"/>
    <w:rsid w:val="00483A58"/>
    <w:rsid w:val="00490618"/>
    <w:rsid w:val="0049377B"/>
    <w:rsid w:val="004A03BE"/>
    <w:rsid w:val="004A7A42"/>
    <w:rsid w:val="004B203A"/>
    <w:rsid w:val="004B5F40"/>
    <w:rsid w:val="004C46A4"/>
    <w:rsid w:val="004C7D16"/>
    <w:rsid w:val="004D0860"/>
    <w:rsid w:val="004D700E"/>
    <w:rsid w:val="004D7F17"/>
    <w:rsid w:val="004E0670"/>
    <w:rsid w:val="004E7F37"/>
    <w:rsid w:val="004F203C"/>
    <w:rsid w:val="004F31BA"/>
    <w:rsid w:val="004F32AB"/>
    <w:rsid w:val="004F5571"/>
    <w:rsid w:val="005118E4"/>
    <w:rsid w:val="00511CA7"/>
    <w:rsid w:val="0051299F"/>
    <w:rsid w:val="0052075D"/>
    <w:rsid w:val="00525DD1"/>
    <w:rsid w:val="00526B85"/>
    <w:rsid w:val="005306A1"/>
    <w:rsid w:val="00537639"/>
    <w:rsid w:val="00544751"/>
    <w:rsid w:val="00553A84"/>
    <w:rsid w:val="00563F88"/>
    <w:rsid w:val="00565DBA"/>
    <w:rsid w:val="00571E8B"/>
    <w:rsid w:val="00577685"/>
    <w:rsid w:val="0059000C"/>
    <w:rsid w:val="00591A64"/>
    <w:rsid w:val="005948DB"/>
    <w:rsid w:val="005A02A1"/>
    <w:rsid w:val="005A3F75"/>
    <w:rsid w:val="005A56F3"/>
    <w:rsid w:val="005B1528"/>
    <w:rsid w:val="005B4DF3"/>
    <w:rsid w:val="005B6071"/>
    <w:rsid w:val="005B6D5A"/>
    <w:rsid w:val="005B7AA1"/>
    <w:rsid w:val="005C120F"/>
    <w:rsid w:val="005C1CF4"/>
    <w:rsid w:val="005D2F65"/>
    <w:rsid w:val="005D5DFD"/>
    <w:rsid w:val="005D7A24"/>
    <w:rsid w:val="005E05F9"/>
    <w:rsid w:val="005E1395"/>
    <w:rsid w:val="005E2EB2"/>
    <w:rsid w:val="005E4571"/>
    <w:rsid w:val="005F0CF9"/>
    <w:rsid w:val="00605DF7"/>
    <w:rsid w:val="006154B9"/>
    <w:rsid w:val="00615815"/>
    <w:rsid w:val="00616EBA"/>
    <w:rsid w:val="00620574"/>
    <w:rsid w:val="00622B47"/>
    <w:rsid w:val="00632C08"/>
    <w:rsid w:val="00636ED9"/>
    <w:rsid w:val="00637BBE"/>
    <w:rsid w:val="00654C42"/>
    <w:rsid w:val="006572E9"/>
    <w:rsid w:val="00662D90"/>
    <w:rsid w:val="0067074A"/>
    <w:rsid w:val="00671C0E"/>
    <w:rsid w:val="00672994"/>
    <w:rsid w:val="006807C9"/>
    <w:rsid w:val="00692EFD"/>
    <w:rsid w:val="00694FDB"/>
    <w:rsid w:val="00696FDA"/>
    <w:rsid w:val="006B2C93"/>
    <w:rsid w:val="006B5F7F"/>
    <w:rsid w:val="006C15C5"/>
    <w:rsid w:val="006D3DAD"/>
    <w:rsid w:val="006D4A4B"/>
    <w:rsid w:val="006E1C6A"/>
    <w:rsid w:val="006E3765"/>
    <w:rsid w:val="006E476C"/>
    <w:rsid w:val="006F1F83"/>
    <w:rsid w:val="006F6096"/>
    <w:rsid w:val="006F7B19"/>
    <w:rsid w:val="0070036D"/>
    <w:rsid w:val="00707E21"/>
    <w:rsid w:val="00716D7B"/>
    <w:rsid w:val="00722377"/>
    <w:rsid w:val="00735AB8"/>
    <w:rsid w:val="00736A76"/>
    <w:rsid w:val="007405CC"/>
    <w:rsid w:val="00741E7C"/>
    <w:rsid w:val="00752C6B"/>
    <w:rsid w:val="00760CE6"/>
    <w:rsid w:val="00762F09"/>
    <w:rsid w:val="007719C9"/>
    <w:rsid w:val="00772718"/>
    <w:rsid w:val="0079668C"/>
    <w:rsid w:val="007A005B"/>
    <w:rsid w:val="007A3384"/>
    <w:rsid w:val="007A7B46"/>
    <w:rsid w:val="007C4330"/>
    <w:rsid w:val="007D30A8"/>
    <w:rsid w:val="007D4969"/>
    <w:rsid w:val="007D7D9E"/>
    <w:rsid w:val="007E24C8"/>
    <w:rsid w:val="007F00B8"/>
    <w:rsid w:val="007F39FA"/>
    <w:rsid w:val="007F6391"/>
    <w:rsid w:val="008006B6"/>
    <w:rsid w:val="00814FB1"/>
    <w:rsid w:val="00817C12"/>
    <w:rsid w:val="00820F20"/>
    <w:rsid w:val="0082528A"/>
    <w:rsid w:val="00825754"/>
    <w:rsid w:val="00833758"/>
    <w:rsid w:val="00835210"/>
    <w:rsid w:val="00835EBF"/>
    <w:rsid w:val="0084413D"/>
    <w:rsid w:val="00844C2D"/>
    <w:rsid w:val="00845DAA"/>
    <w:rsid w:val="00851FDD"/>
    <w:rsid w:val="00854ACD"/>
    <w:rsid w:val="0087438E"/>
    <w:rsid w:val="00884668"/>
    <w:rsid w:val="008866EE"/>
    <w:rsid w:val="008872E5"/>
    <w:rsid w:val="00887C0D"/>
    <w:rsid w:val="00895EB9"/>
    <w:rsid w:val="008A025A"/>
    <w:rsid w:val="008A4069"/>
    <w:rsid w:val="008B2B46"/>
    <w:rsid w:val="008D18D7"/>
    <w:rsid w:val="008D31D1"/>
    <w:rsid w:val="008D3EB2"/>
    <w:rsid w:val="008D5CAF"/>
    <w:rsid w:val="008E05BC"/>
    <w:rsid w:val="008F17B8"/>
    <w:rsid w:val="008F3CCF"/>
    <w:rsid w:val="00901750"/>
    <w:rsid w:val="00901A61"/>
    <w:rsid w:val="00903A60"/>
    <w:rsid w:val="00905D7D"/>
    <w:rsid w:val="00906419"/>
    <w:rsid w:val="009071B1"/>
    <w:rsid w:val="00921840"/>
    <w:rsid w:val="00924457"/>
    <w:rsid w:val="00932C87"/>
    <w:rsid w:val="009331B4"/>
    <w:rsid w:val="009345F1"/>
    <w:rsid w:val="00941C0C"/>
    <w:rsid w:val="00944BBB"/>
    <w:rsid w:val="00945DF5"/>
    <w:rsid w:val="0095141C"/>
    <w:rsid w:val="00953560"/>
    <w:rsid w:val="009547B6"/>
    <w:rsid w:val="00955D78"/>
    <w:rsid w:val="00961072"/>
    <w:rsid w:val="0096623C"/>
    <w:rsid w:val="00974EFF"/>
    <w:rsid w:val="00980BE5"/>
    <w:rsid w:val="00980F43"/>
    <w:rsid w:val="009859D0"/>
    <w:rsid w:val="009A2F51"/>
    <w:rsid w:val="009A34F3"/>
    <w:rsid w:val="009A4B37"/>
    <w:rsid w:val="009B3C3D"/>
    <w:rsid w:val="009B6C1C"/>
    <w:rsid w:val="009C2B9F"/>
    <w:rsid w:val="009C3672"/>
    <w:rsid w:val="009C37F3"/>
    <w:rsid w:val="009C6C53"/>
    <w:rsid w:val="009D6881"/>
    <w:rsid w:val="009E1A74"/>
    <w:rsid w:val="009E6B53"/>
    <w:rsid w:val="009E750F"/>
    <w:rsid w:val="009F4968"/>
    <w:rsid w:val="00A04D96"/>
    <w:rsid w:val="00A0629B"/>
    <w:rsid w:val="00A14495"/>
    <w:rsid w:val="00A15516"/>
    <w:rsid w:val="00A16BE1"/>
    <w:rsid w:val="00A232AB"/>
    <w:rsid w:val="00A24F65"/>
    <w:rsid w:val="00A2524B"/>
    <w:rsid w:val="00A27C48"/>
    <w:rsid w:val="00A419CE"/>
    <w:rsid w:val="00A42106"/>
    <w:rsid w:val="00A453D7"/>
    <w:rsid w:val="00A454BF"/>
    <w:rsid w:val="00A52E3A"/>
    <w:rsid w:val="00A61A1A"/>
    <w:rsid w:val="00A659F3"/>
    <w:rsid w:val="00A71BCD"/>
    <w:rsid w:val="00A72242"/>
    <w:rsid w:val="00A814CB"/>
    <w:rsid w:val="00A86258"/>
    <w:rsid w:val="00A90D1B"/>
    <w:rsid w:val="00A96F42"/>
    <w:rsid w:val="00AA5B80"/>
    <w:rsid w:val="00AC1235"/>
    <w:rsid w:val="00AC144D"/>
    <w:rsid w:val="00AC7358"/>
    <w:rsid w:val="00AD70E2"/>
    <w:rsid w:val="00AF55F8"/>
    <w:rsid w:val="00B03807"/>
    <w:rsid w:val="00B079D5"/>
    <w:rsid w:val="00B10ABA"/>
    <w:rsid w:val="00B2437C"/>
    <w:rsid w:val="00B266BD"/>
    <w:rsid w:val="00B303E4"/>
    <w:rsid w:val="00B420D4"/>
    <w:rsid w:val="00B43CFE"/>
    <w:rsid w:val="00B57910"/>
    <w:rsid w:val="00B60969"/>
    <w:rsid w:val="00B60BBA"/>
    <w:rsid w:val="00B72CC4"/>
    <w:rsid w:val="00B858AF"/>
    <w:rsid w:val="00B864D6"/>
    <w:rsid w:val="00B91B21"/>
    <w:rsid w:val="00B952F6"/>
    <w:rsid w:val="00B95C4A"/>
    <w:rsid w:val="00BA202A"/>
    <w:rsid w:val="00BC093A"/>
    <w:rsid w:val="00BC2B00"/>
    <w:rsid w:val="00BC4ACC"/>
    <w:rsid w:val="00BC4FCC"/>
    <w:rsid w:val="00BC7BE5"/>
    <w:rsid w:val="00BD02F8"/>
    <w:rsid w:val="00BD04CA"/>
    <w:rsid w:val="00BD0B44"/>
    <w:rsid w:val="00BE38F1"/>
    <w:rsid w:val="00BF0CBA"/>
    <w:rsid w:val="00BF4AC2"/>
    <w:rsid w:val="00C04432"/>
    <w:rsid w:val="00C061A7"/>
    <w:rsid w:val="00C06ED8"/>
    <w:rsid w:val="00C07A5C"/>
    <w:rsid w:val="00C1488E"/>
    <w:rsid w:val="00C217A8"/>
    <w:rsid w:val="00C25C42"/>
    <w:rsid w:val="00C31B1C"/>
    <w:rsid w:val="00C36976"/>
    <w:rsid w:val="00C4188F"/>
    <w:rsid w:val="00C435BE"/>
    <w:rsid w:val="00C52046"/>
    <w:rsid w:val="00C7717A"/>
    <w:rsid w:val="00C80477"/>
    <w:rsid w:val="00C819A4"/>
    <w:rsid w:val="00C81C49"/>
    <w:rsid w:val="00C824AE"/>
    <w:rsid w:val="00C84EA8"/>
    <w:rsid w:val="00C92998"/>
    <w:rsid w:val="00C95B28"/>
    <w:rsid w:val="00CA444B"/>
    <w:rsid w:val="00CA720A"/>
    <w:rsid w:val="00CD0003"/>
    <w:rsid w:val="00CD2248"/>
    <w:rsid w:val="00CD5746"/>
    <w:rsid w:val="00CD5925"/>
    <w:rsid w:val="00CE0775"/>
    <w:rsid w:val="00CE557A"/>
    <w:rsid w:val="00CF00AD"/>
    <w:rsid w:val="00CF6B74"/>
    <w:rsid w:val="00D023A1"/>
    <w:rsid w:val="00D031B2"/>
    <w:rsid w:val="00D05A86"/>
    <w:rsid w:val="00D05B2E"/>
    <w:rsid w:val="00D06EAD"/>
    <w:rsid w:val="00D11B1C"/>
    <w:rsid w:val="00D1410C"/>
    <w:rsid w:val="00D152B4"/>
    <w:rsid w:val="00D3434A"/>
    <w:rsid w:val="00D40D16"/>
    <w:rsid w:val="00D433F8"/>
    <w:rsid w:val="00D523F4"/>
    <w:rsid w:val="00D548F0"/>
    <w:rsid w:val="00D57F79"/>
    <w:rsid w:val="00D60E3B"/>
    <w:rsid w:val="00D64FAC"/>
    <w:rsid w:val="00D65704"/>
    <w:rsid w:val="00D668F6"/>
    <w:rsid w:val="00D71F9D"/>
    <w:rsid w:val="00D741F9"/>
    <w:rsid w:val="00D84875"/>
    <w:rsid w:val="00D904F0"/>
    <w:rsid w:val="00D91378"/>
    <w:rsid w:val="00D91B18"/>
    <w:rsid w:val="00D930FB"/>
    <w:rsid w:val="00D95D89"/>
    <w:rsid w:val="00DA4A43"/>
    <w:rsid w:val="00DC0747"/>
    <w:rsid w:val="00DC2647"/>
    <w:rsid w:val="00DC316D"/>
    <w:rsid w:val="00DD0AD0"/>
    <w:rsid w:val="00DD1408"/>
    <w:rsid w:val="00DD26B8"/>
    <w:rsid w:val="00DD356D"/>
    <w:rsid w:val="00DD6735"/>
    <w:rsid w:val="00DD72DE"/>
    <w:rsid w:val="00DF136A"/>
    <w:rsid w:val="00DF51FA"/>
    <w:rsid w:val="00E02D9C"/>
    <w:rsid w:val="00E0448C"/>
    <w:rsid w:val="00E13525"/>
    <w:rsid w:val="00E14A1F"/>
    <w:rsid w:val="00E1754A"/>
    <w:rsid w:val="00E36339"/>
    <w:rsid w:val="00E47250"/>
    <w:rsid w:val="00E47ADA"/>
    <w:rsid w:val="00E61535"/>
    <w:rsid w:val="00E631BE"/>
    <w:rsid w:val="00E73F55"/>
    <w:rsid w:val="00E74266"/>
    <w:rsid w:val="00E7480B"/>
    <w:rsid w:val="00E8246B"/>
    <w:rsid w:val="00E84012"/>
    <w:rsid w:val="00E84CDF"/>
    <w:rsid w:val="00E86AD5"/>
    <w:rsid w:val="00E87631"/>
    <w:rsid w:val="00E876E3"/>
    <w:rsid w:val="00E9123E"/>
    <w:rsid w:val="00E9373C"/>
    <w:rsid w:val="00EA0724"/>
    <w:rsid w:val="00EA6251"/>
    <w:rsid w:val="00EB1EF9"/>
    <w:rsid w:val="00EB6414"/>
    <w:rsid w:val="00ED2669"/>
    <w:rsid w:val="00EE3BA6"/>
    <w:rsid w:val="00EE5747"/>
    <w:rsid w:val="00EE6163"/>
    <w:rsid w:val="00EF3804"/>
    <w:rsid w:val="00EF5E05"/>
    <w:rsid w:val="00F001B4"/>
    <w:rsid w:val="00F073CA"/>
    <w:rsid w:val="00F21832"/>
    <w:rsid w:val="00F227AF"/>
    <w:rsid w:val="00F25E07"/>
    <w:rsid w:val="00F266F2"/>
    <w:rsid w:val="00F27370"/>
    <w:rsid w:val="00F332D2"/>
    <w:rsid w:val="00F401BD"/>
    <w:rsid w:val="00F40B00"/>
    <w:rsid w:val="00F41AAB"/>
    <w:rsid w:val="00F44D73"/>
    <w:rsid w:val="00F45BB8"/>
    <w:rsid w:val="00F5341C"/>
    <w:rsid w:val="00F5342D"/>
    <w:rsid w:val="00F56954"/>
    <w:rsid w:val="00F60E81"/>
    <w:rsid w:val="00F67B1B"/>
    <w:rsid w:val="00F76062"/>
    <w:rsid w:val="00F85F98"/>
    <w:rsid w:val="00F948AF"/>
    <w:rsid w:val="00FA1F45"/>
    <w:rsid w:val="00FA3FD8"/>
    <w:rsid w:val="00FA5A7B"/>
    <w:rsid w:val="00FB11B1"/>
    <w:rsid w:val="00FC1C24"/>
    <w:rsid w:val="00FE00E8"/>
    <w:rsid w:val="00FF01E6"/>
    <w:rsid w:val="00FF3659"/>
    <w:rsid w:val="00FF3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5898">
      <w:bodyDiv w:val="1"/>
      <w:marLeft w:val="0"/>
      <w:marRight w:val="0"/>
      <w:marTop w:val="0"/>
      <w:marBottom w:val="0"/>
      <w:divBdr>
        <w:top w:val="none" w:sz="0" w:space="0" w:color="auto"/>
        <w:left w:val="none" w:sz="0" w:space="0" w:color="auto"/>
        <w:bottom w:val="none" w:sz="0" w:space="0" w:color="auto"/>
        <w:right w:val="none" w:sz="0" w:space="0" w:color="auto"/>
      </w:divBdr>
    </w:div>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221645731">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86540787">
      <w:bodyDiv w:val="1"/>
      <w:marLeft w:val="0"/>
      <w:marRight w:val="0"/>
      <w:marTop w:val="0"/>
      <w:marBottom w:val="0"/>
      <w:divBdr>
        <w:top w:val="none" w:sz="0" w:space="0" w:color="auto"/>
        <w:left w:val="none" w:sz="0" w:space="0" w:color="auto"/>
        <w:bottom w:val="none" w:sz="0" w:space="0" w:color="auto"/>
        <w:right w:val="none" w:sz="0" w:space="0" w:color="auto"/>
      </w:divBdr>
    </w:div>
    <w:div w:id="1776169899">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9356</Characters>
  <Application>Microsoft Office Word</Application>
  <DocSecurity>0</DocSecurity>
  <Lines>160</Lines>
  <Paragraphs>80</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2025-01-30T00:18:00Z</dcterms:created>
  <dcterms:modified xsi:type="dcterms:W3CDTF">2025-01-30T00:19:00Z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v=2022.1;a=SHA256;h=28A3F97007A0C0FC40217F77AD5ABEB2284E21A86F41FE7791C2C9BEC448FDE9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2023-10-17T07:02:06Z</vt:lpwstr>
  </property>
  <property fmtid="{D5CDD505-2E9C-101B-9397-08002B2CF9AE}" pid="13" name="MSIP_Label_eb34d90b-fc41-464d-af60-f74d721d0790_SetDate">
    <vt:lpwstr>2023-10-17T07:02:06Z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B20AE3E37947749D24B7D2490B5169D7</vt:lpwstr>
  </property>
  <property fmtid="{D5CDD505-2E9C-101B-9397-08002B2CF9AE}" pid="22" name="PM_Hash_Salt">
    <vt:lpwstr>78E66FE797EE1096E71A4C3C0E8845F9</vt:lpwstr>
  </property>
  <property fmtid="{D5CDD505-2E9C-101B-9397-08002B2CF9AE}" pid="23" name="PM_Hash_SHA1">
    <vt:lpwstr>247CD72CF37C11AD1D0BE91086B87926D42445DE</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9df474c429d34abe935a3b7f0df5e781</vt:lpwstr>
  </property>
  <property fmtid="{D5CDD505-2E9C-101B-9397-08002B2CF9AE}" pid="34" name="PMUuid">
    <vt:lpwstr>v=2022.2;d=gov.au;g=46DD6D7C-8107-577B-BC6E-F348953B2E44</vt:lpwstr>
  </property>
  <property fmtid="{D5CDD505-2E9C-101B-9397-08002B2CF9AE}" pid="35" name="PM_Caveats_Count">
    <vt:lpwstr>0</vt:lpwstr>
  </property>
</Properties>
</file>