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3B21" w14:textId="083143C6" w:rsidR="00B00037" w:rsidRDefault="00B00037" w:rsidP="0032204D">
      <w:pPr>
        <w:numPr>
          <w:ilvl w:val="1"/>
          <w:numId w:val="0"/>
        </w:numPr>
        <w:pBdr>
          <w:bottom w:val="single" w:sz="4" w:space="14" w:color="000000" w:themeColor="text1"/>
        </w:pBdr>
        <w:spacing w:before="120" w:line="240" w:lineRule="auto"/>
        <w:rPr>
          <w:rFonts w:asciiTheme="majorHAnsi" w:eastAsiaTheme="majorEastAsia" w:hAnsiTheme="majorHAnsi" w:cstheme="majorHAnsi"/>
          <w:bCs/>
          <w:color w:val="CF0A2C" w:themeColor="accent1"/>
          <w:sz w:val="48"/>
          <w:szCs w:val="48"/>
        </w:rPr>
      </w:pPr>
      <w:r w:rsidRPr="00B00037">
        <w:rPr>
          <w:rFonts w:asciiTheme="majorHAnsi" w:eastAsiaTheme="majorEastAsia" w:hAnsiTheme="majorHAnsi" w:cstheme="majorHAnsi"/>
          <w:bCs/>
          <w:color w:val="CF0A2C" w:themeColor="accent1"/>
          <w:sz w:val="48"/>
          <w:szCs w:val="48"/>
        </w:rPr>
        <w:t>2023–24 Volunteer Grants</w:t>
      </w:r>
    </w:p>
    <w:p w14:paraId="78E1F651" w14:textId="459C3ED9" w:rsidR="00726042" w:rsidRDefault="00726042" w:rsidP="0032204D">
      <w:pPr>
        <w:numPr>
          <w:ilvl w:val="1"/>
          <w:numId w:val="0"/>
        </w:numPr>
        <w:pBdr>
          <w:bottom w:val="single" w:sz="4" w:space="14" w:color="000000" w:themeColor="text1"/>
        </w:pBdr>
        <w:spacing w:before="120" w:line="240" w:lineRule="auto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>Feedback for applicants</w:t>
      </w:r>
    </w:p>
    <w:p w14:paraId="096EBF50" w14:textId="2E6B4B6E" w:rsidR="0032204D" w:rsidRDefault="0032204D" w:rsidP="0032204D">
      <w:pPr>
        <w:spacing w:before="120" w:after="120"/>
        <w:rPr>
          <w:color w:val="auto"/>
        </w:rPr>
      </w:pPr>
      <w:r w:rsidRPr="00854ACD">
        <w:rPr>
          <w:color w:val="auto"/>
        </w:rPr>
        <w:t xml:space="preserve">The </w:t>
      </w:r>
      <w:r w:rsidR="00B00037">
        <w:t xml:space="preserve">Department of Social Services </w:t>
      </w:r>
      <w:r w:rsidR="00D456E7">
        <w:rPr>
          <w:color w:val="auto"/>
        </w:rPr>
        <w:t xml:space="preserve">(the </w:t>
      </w:r>
      <w:r w:rsidR="00726042">
        <w:rPr>
          <w:color w:val="auto"/>
        </w:rPr>
        <w:t>d</w:t>
      </w:r>
      <w:r>
        <w:rPr>
          <w:color w:val="auto"/>
        </w:rPr>
        <w:t>epartment) has provided the following general f</w:t>
      </w:r>
      <w:r w:rsidRPr="00854ACD">
        <w:rPr>
          <w:color w:val="auto"/>
        </w:rPr>
        <w:t xml:space="preserve">eedback for applicants of the </w:t>
      </w:r>
      <w:r w:rsidR="00B00037" w:rsidRPr="00B00037">
        <w:rPr>
          <w:color w:val="auto"/>
        </w:rPr>
        <w:t>2023</w:t>
      </w:r>
      <w:r w:rsidR="00726042">
        <w:rPr>
          <w:color w:val="auto"/>
        </w:rPr>
        <w:t>–</w:t>
      </w:r>
      <w:r w:rsidR="00B00037" w:rsidRPr="00B00037">
        <w:rPr>
          <w:color w:val="auto"/>
        </w:rPr>
        <w:t xml:space="preserve">24 Volunteer Grants </w:t>
      </w:r>
      <w:r w:rsidRPr="00854ACD">
        <w:rPr>
          <w:color w:val="auto"/>
        </w:rPr>
        <w:t>grant opportunity.</w:t>
      </w:r>
    </w:p>
    <w:p w14:paraId="4BEDC740" w14:textId="77777777" w:rsidR="0032204D" w:rsidRPr="00945DF5" w:rsidRDefault="0032204D" w:rsidP="0032204D">
      <w:pPr>
        <w:spacing w:before="120" w:after="120"/>
        <w:rPr>
          <w:rFonts w:ascii="Arial" w:eastAsiaTheme="majorEastAsia" w:hAnsi="Arial" w:cs="Arial"/>
          <w:bCs/>
          <w:color w:val="C00000"/>
          <w:sz w:val="36"/>
          <w:szCs w:val="28"/>
        </w:rPr>
      </w:pPr>
      <w:r w:rsidRPr="00945DF5">
        <w:rPr>
          <w:rFonts w:ascii="Arial" w:eastAsiaTheme="majorEastAsia" w:hAnsi="Arial" w:cs="Arial"/>
          <w:bCs/>
          <w:color w:val="C00000"/>
          <w:sz w:val="36"/>
          <w:szCs w:val="28"/>
        </w:rPr>
        <w:t>Overview</w:t>
      </w:r>
    </w:p>
    <w:p w14:paraId="7C01B3B2" w14:textId="3C9779D9" w:rsidR="0032204D" w:rsidRDefault="0032204D" w:rsidP="00DA7230">
      <w:pPr>
        <w:pStyle w:val="BodyText"/>
        <w:spacing w:before="40" w:after="120"/>
        <w:rPr>
          <w:color w:val="auto"/>
        </w:rPr>
      </w:pPr>
      <w:r w:rsidRPr="00854ACD">
        <w:rPr>
          <w:color w:val="auto"/>
        </w:rPr>
        <w:t xml:space="preserve">The application </w:t>
      </w:r>
      <w:r>
        <w:rPr>
          <w:color w:val="auto"/>
        </w:rPr>
        <w:t xml:space="preserve">submission </w:t>
      </w:r>
      <w:r w:rsidRPr="00854ACD">
        <w:rPr>
          <w:color w:val="auto"/>
        </w:rPr>
        <w:t xml:space="preserve">period </w:t>
      </w:r>
      <w:r w:rsidRPr="00517BA3">
        <w:rPr>
          <w:color w:val="auto"/>
        </w:rPr>
        <w:t xml:space="preserve">opened on </w:t>
      </w:r>
      <w:r w:rsidR="00B00037" w:rsidRPr="00B00037">
        <w:rPr>
          <w:color w:val="auto"/>
        </w:rPr>
        <w:t>6 November 2023</w:t>
      </w:r>
      <w:r w:rsidR="00B00037">
        <w:rPr>
          <w:color w:val="auto"/>
        </w:rPr>
        <w:t xml:space="preserve"> </w:t>
      </w:r>
      <w:r w:rsidRPr="00854ACD">
        <w:rPr>
          <w:color w:val="auto"/>
        </w:rPr>
        <w:t xml:space="preserve">and closed </w:t>
      </w:r>
      <w:r w:rsidR="009D74FB" w:rsidRPr="00854ACD">
        <w:rPr>
          <w:color w:val="auto"/>
        </w:rPr>
        <w:t xml:space="preserve">on </w:t>
      </w:r>
      <w:r w:rsidR="00733E08">
        <w:rPr>
          <w:color w:val="auto"/>
        </w:rPr>
        <w:t>2</w:t>
      </w:r>
      <w:r w:rsidR="009D74FB">
        <w:rPr>
          <w:color w:val="auto"/>
        </w:rPr>
        <w:t>4</w:t>
      </w:r>
      <w:r w:rsidR="00027D16">
        <w:rPr>
          <w:color w:val="auto"/>
        </w:rPr>
        <w:t> </w:t>
      </w:r>
      <w:r w:rsidR="00B00037" w:rsidRPr="00B00037">
        <w:rPr>
          <w:color w:val="auto"/>
        </w:rPr>
        <w:t>November</w:t>
      </w:r>
      <w:r w:rsidR="00027D16">
        <w:rPr>
          <w:color w:val="auto"/>
        </w:rPr>
        <w:t> </w:t>
      </w:r>
      <w:r w:rsidR="00B00037" w:rsidRPr="00B00037">
        <w:rPr>
          <w:color w:val="auto"/>
        </w:rPr>
        <w:t>2023</w:t>
      </w:r>
      <w:r w:rsidRPr="00B00037">
        <w:rPr>
          <w:color w:val="auto"/>
        </w:rPr>
        <w:t>.</w:t>
      </w:r>
    </w:p>
    <w:p w14:paraId="7040EABF" w14:textId="0C9B0D87" w:rsidR="00B00037" w:rsidRPr="0032204D" w:rsidRDefault="00B00037" w:rsidP="00DA7230">
      <w:pPr>
        <w:pStyle w:val="BodyText"/>
        <w:spacing w:before="40" w:after="120"/>
        <w:rPr>
          <w:b/>
          <w:color w:val="auto"/>
          <w:u w:val="single"/>
        </w:rPr>
      </w:pPr>
      <w:r w:rsidRPr="00125233">
        <w:t>The electorate based, closed, non-competitive selection process was designed to ensure grant funding addresse</w:t>
      </w:r>
      <w:r w:rsidR="009D74FB">
        <w:t>d</w:t>
      </w:r>
      <w:r w:rsidRPr="00125233">
        <w:t xml:space="preserve"> local priorities and achieve</w:t>
      </w:r>
      <w:r w:rsidR="009D74FB">
        <w:t>d</w:t>
      </w:r>
      <w:r w:rsidRPr="00125233">
        <w:t xml:space="preserve"> an equitable geographic distribution of funding. Members of Parliament (MPs) in collaboration with their Community Committees nominated organisations from within their electo</w:t>
      </w:r>
      <w:r w:rsidR="00D456E7" w:rsidRPr="00125233">
        <w:t xml:space="preserve">rate to apply for funding. The </w:t>
      </w:r>
      <w:r w:rsidR="00607026">
        <w:t>d</w:t>
      </w:r>
      <w:r w:rsidR="00721BED" w:rsidRPr="00125233">
        <w:t xml:space="preserve">epartment </w:t>
      </w:r>
      <w:r w:rsidRPr="00125233">
        <w:t>subsequently invited the nominated organisations</w:t>
      </w:r>
      <w:r w:rsidR="00D456E7" w:rsidRPr="00125233">
        <w:t xml:space="preserve"> to </w:t>
      </w:r>
      <w:r w:rsidR="00721BED" w:rsidRPr="00125233">
        <w:t>apply</w:t>
      </w:r>
      <w:r w:rsidR="00D456E7" w:rsidRPr="00125233">
        <w:t xml:space="preserve">. The </w:t>
      </w:r>
      <w:r w:rsidR="00726042">
        <w:t>d</w:t>
      </w:r>
      <w:r w:rsidR="00721BED" w:rsidRPr="00125233">
        <w:t xml:space="preserve">epartment </w:t>
      </w:r>
      <w:r w:rsidRPr="00125233">
        <w:t>considered all applications in line with the Grant Opportunity Guidelines</w:t>
      </w:r>
      <w:r w:rsidR="009D74FB">
        <w:t xml:space="preserve"> (</w:t>
      </w:r>
      <w:r w:rsidR="00726042">
        <w:t>g</w:t>
      </w:r>
      <w:r w:rsidR="009D74FB">
        <w:t>uidelines)</w:t>
      </w:r>
      <w:r w:rsidRPr="00125233">
        <w:t>.</w:t>
      </w:r>
    </w:p>
    <w:p w14:paraId="0468E255" w14:textId="33629EFA" w:rsidR="0032204D" w:rsidRPr="005B1528" w:rsidRDefault="0032204D" w:rsidP="0032204D">
      <w:pPr>
        <w:pStyle w:val="BodyText"/>
        <w:spacing w:after="120"/>
      </w:pPr>
      <w:r w:rsidRPr="00A232AB">
        <w:rPr>
          <w:rFonts w:ascii="Arial" w:eastAsiaTheme="majorEastAsia" w:hAnsi="Arial" w:cs="Arial"/>
          <w:bCs/>
          <w:color w:val="C00000"/>
          <w:sz w:val="36"/>
          <w:szCs w:val="28"/>
        </w:rPr>
        <w:t xml:space="preserve">Selection </w:t>
      </w:r>
      <w:r w:rsidR="00366D88">
        <w:rPr>
          <w:rFonts w:ascii="Arial" w:eastAsiaTheme="majorEastAsia" w:hAnsi="Arial" w:cs="Arial"/>
          <w:bCs/>
          <w:color w:val="C00000"/>
          <w:sz w:val="36"/>
          <w:szCs w:val="28"/>
        </w:rPr>
        <w:t>p</w:t>
      </w:r>
      <w:r w:rsidRPr="00A232AB">
        <w:rPr>
          <w:rFonts w:ascii="Arial" w:eastAsiaTheme="majorEastAsia" w:hAnsi="Arial" w:cs="Arial"/>
          <w:bCs/>
          <w:color w:val="C00000"/>
          <w:sz w:val="36"/>
          <w:szCs w:val="28"/>
        </w:rPr>
        <w:t>rocess</w:t>
      </w:r>
      <w:r w:rsidRPr="005B1528">
        <w:rPr>
          <w:highlight w:val="yellow"/>
        </w:rPr>
        <w:t xml:space="preserve"> </w:t>
      </w:r>
    </w:p>
    <w:p w14:paraId="39A2701D" w14:textId="409DB215" w:rsidR="008E4CDD" w:rsidRDefault="008E4CDD" w:rsidP="008E4CDD">
      <w:pPr>
        <w:pStyle w:val="BodyText"/>
      </w:pPr>
      <w:r>
        <w:t>The Community Grants Hub</w:t>
      </w:r>
      <w:r w:rsidR="009D74FB">
        <w:t xml:space="preserve"> (the Hub)</w:t>
      </w:r>
      <w:r>
        <w:t xml:space="preserve"> undertook the </w:t>
      </w:r>
      <w:r w:rsidR="009D74FB">
        <w:t xml:space="preserve">initial </w:t>
      </w:r>
      <w:r>
        <w:t xml:space="preserve">screening for organisation eligibility and compliance against the requirements outlined in the </w:t>
      </w:r>
      <w:r w:rsidR="00726042">
        <w:t>g</w:t>
      </w:r>
      <w:r>
        <w:t xml:space="preserve">uidelines. This information was provided to </w:t>
      </w:r>
      <w:r w:rsidRPr="002B6345">
        <w:rPr>
          <w:color w:val="auto"/>
        </w:rPr>
        <w:t xml:space="preserve">the </w:t>
      </w:r>
      <w:r w:rsidR="00607026">
        <w:rPr>
          <w:color w:val="auto"/>
        </w:rPr>
        <w:t>d</w:t>
      </w:r>
      <w:r w:rsidR="00721BED" w:rsidRPr="002B6345">
        <w:rPr>
          <w:color w:val="auto"/>
        </w:rPr>
        <w:t xml:space="preserve">epartment </w:t>
      </w:r>
      <w:r>
        <w:t>for the final decision on whether an application did not meet the eligibility and/or compliance criteria.</w:t>
      </w:r>
    </w:p>
    <w:p w14:paraId="3C424010" w14:textId="7CC5AD5C" w:rsidR="008E4CDD" w:rsidRPr="00125233" w:rsidRDefault="008E4CDD" w:rsidP="005B4F6E">
      <w:pPr>
        <w:pStyle w:val="BodyText"/>
        <w:rPr>
          <w:color w:val="auto"/>
        </w:rPr>
      </w:pPr>
      <w:r w:rsidRPr="002B6345">
        <w:rPr>
          <w:color w:val="auto"/>
        </w:rPr>
        <w:t xml:space="preserve">The </w:t>
      </w:r>
      <w:r w:rsidR="00607026">
        <w:rPr>
          <w:color w:val="auto"/>
        </w:rPr>
        <w:t>d</w:t>
      </w:r>
      <w:r w:rsidR="00721BED" w:rsidRPr="00125233">
        <w:rPr>
          <w:color w:val="auto"/>
        </w:rPr>
        <w:t xml:space="preserve">epartment </w:t>
      </w:r>
      <w:r w:rsidRPr="00125233">
        <w:t>assessed</w:t>
      </w:r>
      <w:r w:rsidR="005B4F6E" w:rsidRPr="00125233">
        <w:t xml:space="preserve"> all</w:t>
      </w:r>
      <w:r w:rsidRPr="00125233">
        <w:t xml:space="preserve"> </w:t>
      </w:r>
      <w:r w:rsidRPr="00125233">
        <w:rPr>
          <w:color w:val="auto"/>
        </w:rPr>
        <w:t>applications based on:</w:t>
      </w:r>
    </w:p>
    <w:p w14:paraId="2D7AC1AA" w14:textId="69F9B68E" w:rsidR="0032204D" w:rsidRPr="00125233" w:rsidRDefault="0032204D" w:rsidP="0032204D">
      <w:pPr>
        <w:pStyle w:val="BodyText"/>
        <w:numPr>
          <w:ilvl w:val="0"/>
          <w:numId w:val="14"/>
        </w:numPr>
        <w:rPr>
          <w:color w:val="auto"/>
        </w:rPr>
      </w:pPr>
      <w:r w:rsidRPr="00125233">
        <w:rPr>
          <w:color w:val="auto"/>
        </w:rPr>
        <w:t xml:space="preserve">compliance with the </w:t>
      </w:r>
      <w:r w:rsidR="00726042">
        <w:rPr>
          <w:color w:val="auto"/>
        </w:rPr>
        <w:t>g</w:t>
      </w:r>
      <w:r w:rsidR="00380DB6" w:rsidRPr="00125233">
        <w:rPr>
          <w:color w:val="auto"/>
        </w:rPr>
        <w:t>uidelines</w:t>
      </w:r>
    </w:p>
    <w:p w14:paraId="59646AE7" w14:textId="651B84A2" w:rsidR="0032204D" w:rsidRPr="00125233" w:rsidRDefault="0032204D" w:rsidP="0032204D">
      <w:pPr>
        <w:pStyle w:val="BodyText"/>
        <w:numPr>
          <w:ilvl w:val="0"/>
          <w:numId w:val="14"/>
        </w:numPr>
        <w:rPr>
          <w:color w:val="auto"/>
        </w:rPr>
      </w:pPr>
      <w:r w:rsidRPr="00125233">
        <w:rPr>
          <w:color w:val="auto"/>
        </w:rPr>
        <w:t>suitability against the eligibility criteria in the</w:t>
      </w:r>
      <w:r w:rsidR="005A3264">
        <w:rPr>
          <w:color w:val="auto"/>
        </w:rPr>
        <w:t xml:space="preserve"> </w:t>
      </w:r>
      <w:r w:rsidR="00726042">
        <w:rPr>
          <w:color w:val="auto"/>
        </w:rPr>
        <w:t>g</w:t>
      </w:r>
      <w:r w:rsidR="00380DB6" w:rsidRPr="00125233">
        <w:rPr>
          <w:color w:val="auto"/>
        </w:rPr>
        <w:t>uidelines</w:t>
      </w:r>
    </w:p>
    <w:p w14:paraId="4484BA83" w14:textId="6BBC30A3" w:rsidR="0032204D" w:rsidRPr="00125233" w:rsidRDefault="0032204D" w:rsidP="0032204D">
      <w:pPr>
        <w:pStyle w:val="BodyText"/>
        <w:numPr>
          <w:ilvl w:val="0"/>
          <w:numId w:val="14"/>
        </w:numPr>
        <w:rPr>
          <w:color w:val="auto"/>
        </w:rPr>
      </w:pPr>
      <w:r w:rsidRPr="00125233">
        <w:rPr>
          <w:color w:val="auto"/>
        </w:rPr>
        <w:t>whether it provided value with relevant money</w:t>
      </w:r>
    </w:p>
    <w:p w14:paraId="5505058A" w14:textId="2DA2CBBC" w:rsidR="0032204D" w:rsidRPr="00125233" w:rsidRDefault="0032204D" w:rsidP="0032204D">
      <w:pPr>
        <w:pStyle w:val="BodyText"/>
        <w:numPr>
          <w:ilvl w:val="0"/>
          <w:numId w:val="14"/>
        </w:numPr>
        <w:rPr>
          <w:color w:val="auto"/>
        </w:rPr>
      </w:pPr>
      <w:r w:rsidRPr="00125233">
        <w:rPr>
          <w:color w:val="auto"/>
        </w:rPr>
        <w:t>identified risks and the proposed</w:t>
      </w:r>
      <w:r w:rsidR="00D456E7" w:rsidRPr="00125233">
        <w:rPr>
          <w:color w:val="auto"/>
        </w:rPr>
        <w:t xml:space="preserve"> mitigation strategies for the </w:t>
      </w:r>
      <w:r w:rsidR="00607026">
        <w:rPr>
          <w:color w:val="auto"/>
        </w:rPr>
        <w:t>d</w:t>
      </w:r>
      <w:r w:rsidRPr="00125233">
        <w:rPr>
          <w:color w:val="auto"/>
        </w:rPr>
        <w:t>epartment and the Commonwealth</w:t>
      </w:r>
      <w:r w:rsidR="009D74FB">
        <w:rPr>
          <w:color w:val="auto"/>
        </w:rPr>
        <w:t>.</w:t>
      </w:r>
    </w:p>
    <w:p w14:paraId="25FB1967" w14:textId="596EC223" w:rsidR="00C314F0" w:rsidRPr="009A2F51" w:rsidRDefault="00C314F0" w:rsidP="00C60189">
      <w:pPr>
        <w:pStyle w:val="BodyText"/>
        <w:spacing w:before="240"/>
        <w:rPr>
          <w:rFonts w:ascii="Arial" w:eastAsiaTheme="majorEastAsia" w:hAnsi="Arial" w:cs="Arial"/>
          <w:bCs/>
          <w:color w:val="CF0A2C" w:themeColor="accent1"/>
          <w:sz w:val="36"/>
          <w:szCs w:val="28"/>
        </w:rPr>
      </w:pPr>
      <w:r w:rsidRPr="009A2F51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 xml:space="preserve">Selection </w:t>
      </w:r>
      <w:r w:rsidR="00366D88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r</w:t>
      </w:r>
      <w:r w:rsidRPr="009A2F51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t>esults</w:t>
      </w:r>
    </w:p>
    <w:p w14:paraId="5C6CBC33" w14:textId="091AA690" w:rsidR="008E4CDD" w:rsidRDefault="008E4CDD" w:rsidP="00C60189">
      <w:pPr>
        <w:pStyle w:val="BodyText"/>
      </w:pPr>
      <w:r>
        <w:t xml:space="preserve">There was a strong interest in the program. Assessment of </w:t>
      </w:r>
      <w:r w:rsidR="00380DB6">
        <w:t xml:space="preserve">applications </w:t>
      </w:r>
      <w:r>
        <w:t xml:space="preserve">was in accordance </w:t>
      </w:r>
      <w:r w:rsidR="00721BED">
        <w:t xml:space="preserve">with </w:t>
      </w:r>
      <w:r>
        <w:t xml:space="preserve">the procedure detailed in the </w:t>
      </w:r>
      <w:r w:rsidR="00726042">
        <w:t>g</w:t>
      </w:r>
      <w:r>
        <w:t xml:space="preserve">uidelines and outlined in the </w:t>
      </w:r>
      <w:r w:rsidR="005A3264">
        <w:t>s</w:t>
      </w:r>
      <w:r>
        <w:t xml:space="preserve">election </w:t>
      </w:r>
      <w:r w:rsidR="00733E08">
        <w:t>p</w:t>
      </w:r>
      <w:r>
        <w:t xml:space="preserve">rocess above. </w:t>
      </w:r>
    </w:p>
    <w:p w14:paraId="527CC798" w14:textId="3B46E52C" w:rsidR="008E4CDD" w:rsidRDefault="008E4CDD" w:rsidP="00C60189">
      <w:pPr>
        <w:pStyle w:val="BodyText"/>
      </w:pPr>
      <w:r w:rsidRPr="00A32B4F">
        <w:t xml:space="preserve">The selected organisations demonstrated their ability to meet the eligibility </w:t>
      </w:r>
      <w:r>
        <w:t xml:space="preserve">and compliance </w:t>
      </w:r>
      <w:r w:rsidRPr="00A32B4F">
        <w:t xml:space="preserve">requirements outlined in the </w:t>
      </w:r>
      <w:r w:rsidR="00726042">
        <w:t>g</w:t>
      </w:r>
      <w:r w:rsidRPr="00A32B4F">
        <w:t>uidelines.</w:t>
      </w:r>
    </w:p>
    <w:p w14:paraId="6E6D57AF" w14:textId="29D2AE84" w:rsidR="008E4CDD" w:rsidRDefault="009D74FB" w:rsidP="00DA7230">
      <w:pPr>
        <w:spacing w:line="240" w:lineRule="auto"/>
        <w:rPr>
          <w:rFonts w:ascii="Arial" w:hAnsi="Arial" w:cs="Arial"/>
          <w:b/>
          <w:color w:val="CF0A2C" w:themeColor="accent1"/>
          <w:sz w:val="36"/>
          <w:szCs w:val="28"/>
        </w:rPr>
      </w:pPr>
      <w:r>
        <w:rPr>
          <w:rFonts w:ascii="Arial" w:hAnsi="Arial" w:cs="Arial"/>
          <w:b/>
          <w:color w:val="CF0A2C" w:themeColor="accent1"/>
          <w:sz w:val="36"/>
          <w:szCs w:val="28"/>
        </w:rPr>
        <w:br w:type="page"/>
      </w:r>
      <w:r w:rsidR="008E4CDD" w:rsidRPr="00D90D7E">
        <w:rPr>
          <w:rFonts w:ascii="Arial" w:hAnsi="Arial" w:cs="Arial"/>
          <w:color w:val="CF0A2C" w:themeColor="accent1"/>
          <w:sz w:val="36"/>
          <w:szCs w:val="28"/>
        </w:rPr>
        <w:t>General feedback</w:t>
      </w:r>
    </w:p>
    <w:p w14:paraId="73C9BBD3" w14:textId="127DB627" w:rsidR="008E4CDD" w:rsidRDefault="008E4CDD" w:rsidP="00C60189">
      <w:pPr>
        <w:pStyle w:val="BodyText"/>
      </w:pPr>
      <w:r>
        <w:t xml:space="preserve">This feedback is to assist grant applicants to understand what generally comprised a strong application and provides guidance in completing </w:t>
      </w:r>
      <w:r w:rsidR="009D74FB">
        <w:t xml:space="preserve">grant </w:t>
      </w:r>
      <w:r>
        <w:t xml:space="preserve">applications for future </w:t>
      </w:r>
      <w:r w:rsidR="009D74FB">
        <w:t>grant opportunities</w:t>
      </w:r>
      <w:r>
        <w:t>.</w:t>
      </w:r>
    </w:p>
    <w:p w14:paraId="1D37732F" w14:textId="7BC1B27B" w:rsidR="008E4CDD" w:rsidRPr="00125233" w:rsidRDefault="008E4CDD" w:rsidP="00C60189">
      <w:pPr>
        <w:pStyle w:val="Heading2"/>
        <w:spacing w:before="120"/>
        <w:rPr>
          <w:color w:val="CF0A2C" w:themeColor="accent1"/>
          <w:sz w:val="22"/>
          <w:szCs w:val="22"/>
        </w:rPr>
      </w:pPr>
      <w:r w:rsidRPr="00125233">
        <w:rPr>
          <w:color w:val="CF0A2C" w:themeColor="accent1"/>
          <w:sz w:val="22"/>
          <w:szCs w:val="22"/>
        </w:rPr>
        <w:t xml:space="preserve">Read the supporting information before </w:t>
      </w:r>
      <w:proofErr w:type="gramStart"/>
      <w:r w:rsidRPr="00125233">
        <w:rPr>
          <w:color w:val="CF0A2C" w:themeColor="accent1"/>
          <w:sz w:val="22"/>
          <w:szCs w:val="22"/>
        </w:rPr>
        <w:t>applying</w:t>
      </w:r>
      <w:proofErr w:type="gramEnd"/>
    </w:p>
    <w:p w14:paraId="52B71FEA" w14:textId="7ECB6E72" w:rsidR="00462558" w:rsidRPr="00125233" w:rsidRDefault="00462558" w:rsidP="003B0120">
      <w:pPr>
        <w:pStyle w:val="BodyText"/>
        <w:numPr>
          <w:ilvl w:val="0"/>
          <w:numId w:val="18"/>
        </w:numPr>
        <w:ind w:left="567" w:hanging="283"/>
      </w:pPr>
      <w:r w:rsidRPr="00125233">
        <w:t xml:space="preserve">It was important to read all available information provided about </w:t>
      </w:r>
      <w:r w:rsidR="00324C5E" w:rsidRPr="00125233">
        <w:t xml:space="preserve">the </w:t>
      </w:r>
      <w:r w:rsidRPr="00125233">
        <w:t>Volunteer Grants</w:t>
      </w:r>
      <w:r w:rsidR="009D74FB">
        <w:t xml:space="preserve"> grant </w:t>
      </w:r>
      <w:r w:rsidR="005A3264">
        <w:t xml:space="preserve">opportunity </w:t>
      </w:r>
      <w:r w:rsidR="005A3264" w:rsidRPr="00125233">
        <w:t>when</w:t>
      </w:r>
      <w:r w:rsidRPr="00125233">
        <w:t xml:space="preserve"> applying for funding, especially grant opportunity documents on the </w:t>
      </w:r>
      <w:hyperlink r:id="rId9" w:history="1">
        <w:r w:rsidRPr="00125233">
          <w:rPr>
            <w:rStyle w:val="Hyperlink"/>
          </w:rPr>
          <w:t>GrantConnect</w:t>
        </w:r>
      </w:hyperlink>
      <w:r w:rsidR="00E45C06">
        <w:rPr>
          <w:rStyle w:val="FootnoteReference"/>
          <w:color w:val="0000FF" w:themeColor="hyperlink"/>
          <w:u w:val="single"/>
        </w:rPr>
        <w:footnoteReference w:id="1"/>
      </w:r>
      <w:r w:rsidRPr="00125233">
        <w:t xml:space="preserve"> website. The grant opportunity documents </w:t>
      </w:r>
      <w:r w:rsidR="00766469" w:rsidRPr="00125233">
        <w:t>were</w:t>
      </w:r>
      <w:r w:rsidRPr="00125233">
        <w:t xml:space="preserve"> specific to the Volunteer Grants</w:t>
      </w:r>
      <w:r w:rsidR="009D74FB">
        <w:t xml:space="preserve"> program </w:t>
      </w:r>
      <w:r w:rsidRPr="00125233">
        <w:t>and contained important information about the purpose of the program, eligibility and compliance requirements, timeframes and how to apply.</w:t>
      </w:r>
    </w:p>
    <w:p w14:paraId="5A7D8709" w14:textId="27733680" w:rsidR="00462558" w:rsidRPr="00125233" w:rsidRDefault="00462558" w:rsidP="003B0120">
      <w:pPr>
        <w:pStyle w:val="BodyText"/>
        <w:numPr>
          <w:ilvl w:val="0"/>
          <w:numId w:val="18"/>
        </w:numPr>
        <w:ind w:left="567" w:hanging="283"/>
      </w:pPr>
      <w:r w:rsidRPr="00125233">
        <w:t>The application form included helpful information and details relating to priorities for funding and mandatory information required for the selection process.</w:t>
      </w:r>
    </w:p>
    <w:p w14:paraId="3265BFF6" w14:textId="445FC1CA" w:rsidR="00F145C1" w:rsidRPr="00125233" w:rsidRDefault="00760EED" w:rsidP="00C60189">
      <w:pPr>
        <w:pStyle w:val="Bullet2"/>
        <w:numPr>
          <w:ilvl w:val="0"/>
          <w:numId w:val="0"/>
        </w:numPr>
        <w:spacing w:before="40" w:after="120"/>
        <w:rPr>
          <w:rFonts w:asciiTheme="majorHAnsi" w:eastAsiaTheme="majorEastAsia" w:hAnsiTheme="majorHAnsi" w:cstheme="majorBidi"/>
          <w:bCs/>
        </w:rPr>
      </w:pPr>
      <w:r w:rsidRPr="00125233">
        <w:rPr>
          <w:rFonts w:asciiTheme="majorHAnsi" w:eastAsiaTheme="majorEastAsia" w:hAnsiTheme="majorHAnsi" w:cstheme="majorBidi"/>
          <w:b/>
          <w:bCs/>
          <w:color w:val="CF0A2C" w:themeColor="accent1"/>
        </w:rPr>
        <w:t>Review</w:t>
      </w:r>
      <w:r w:rsidR="00F145C1" w:rsidRPr="00125233">
        <w:rPr>
          <w:rFonts w:asciiTheme="majorHAnsi" w:eastAsiaTheme="majorEastAsia" w:hAnsiTheme="majorHAnsi" w:cstheme="majorBidi"/>
          <w:b/>
          <w:bCs/>
          <w:color w:val="CF0A2C" w:themeColor="accent1"/>
        </w:rPr>
        <w:t xml:space="preserve"> the application </w:t>
      </w:r>
      <w:r w:rsidRPr="00125233">
        <w:rPr>
          <w:rFonts w:asciiTheme="majorHAnsi" w:eastAsiaTheme="majorEastAsia" w:hAnsiTheme="majorHAnsi" w:cstheme="majorBidi"/>
          <w:b/>
          <w:bCs/>
          <w:color w:val="CF0A2C" w:themeColor="accent1"/>
        </w:rPr>
        <w:t xml:space="preserve">form prior to </w:t>
      </w:r>
      <w:proofErr w:type="gramStart"/>
      <w:r w:rsidR="00F145C1" w:rsidRPr="00125233">
        <w:rPr>
          <w:rFonts w:asciiTheme="majorHAnsi" w:eastAsiaTheme="majorEastAsia" w:hAnsiTheme="majorHAnsi" w:cstheme="majorBidi"/>
          <w:b/>
          <w:bCs/>
          <w:color w:val="CF0A2C" w:themeColor="accent1"/>
        </w:rPr>
        <w:t>submi</w:t>
      </w:r>
      <w:r w:rsidRPr="00125233">
        <w:rPr>
          <w:rFonts w:asciiTheme="majorHAnsi" w:eastAsiaTheme="majorEastAsia" w:hAnsiTheme="majorHAnsi" w:cstheme="majorBidi"/>
          <w:b/>
          <w:bCs/>
          <w:color w:val="CF0A2C" w:themeColor="accent1"/>
        </w:rPr>
        <w:t>ssion</w:t>
      </w:r>
      <w:proofErr w:type="gramEnd"/>
    </w:p>
    <w:p w14:paraId="5ABC2B37" w14:textId="06F0DCB4" w:rsidR="00F145C1" w:rsidRPr="00125233" w:rsidRDefault="00F145C1" w:rsidP="003B0120">
      <w:pPr>
        <w:pStyle w:val="Bullet2"/>
        <w:numPr>
          <w:ilvl w:val="0"/>
          <w:numId w:val="23"/>
        </w:numPr>
        <w:spacing w:before="40" w:after="120"/>
        <w:ind w:left="567"/>
        <w:rPr>
          <w:rFonts w:asciiTheme="majorHAnsi" w:eastAsiaTheme="majorEastAsia" w:hAnsiTheme="majorHAnsi" w:cstheme="majorBidi"/>
          <w:bCs/>
        </w:rPr>
      </w:pPr>
      <w:r w:rsidRPr="00125233">
        <w:rPr>
          <w:rFonts w:asciiTheme="majorHAnsi" w:eastAsiaTheme="majorEastAsia" w:hAnsiTheme="majorHAnsi" w:cstheme="majorBidi"/>
          <w:bCs/>
        </w:rPr>
        <w:t>Applicants were encouraged to check the</w:t>
      </w:r>
      <w:r w:rsidR="00760EED" w:rsidRPr="00125233">
        <w:rPr>
          <w:rFonts w:asciiTheme="majorHAnsi" w:eastAsiaTheme="majorEastAsia" w:hAnsiTheme="majorHAnsi" w:cstheme="majorBidi"/>
          <w:bCs/>
        </w:rPr>
        <w:t>ir</w:t>
      </w:r>
      <w:r w:rsidRPr="00125233">
        <w:rPr>
          <w:rFonts w:asciiTheme="majorHAnsi" w:eastAsiaTheme="majorEastAsia" w:hAnsiTheme="majorHAnsi" w:cstheme="majorBidi"/>
          <w:bCs/>
        </w:rPr>
        <w:t xml:space="preserve"> application form for completeness and accuracy prior to </w:t>
      </w:r>
      <w:r w:rsidR="00760EED" w:rsidRPr="00125233">
        <w:rPr>
          <w:rFonts w:asciiTheme="majorHAnsi" w:eastAsiaTheme="majorEastAsia" w:hAnsiTheme="majorHAnsi" w:cstheme="majorBidi"/>
          <w:bCs/>
        </w:rPr>
        <w:t>submission</w:t>
      </w:r>
      <w:r w:rsidRPr="00125233">
        <w:rPr>
          <w:rFonts w:asciiTheme="majorHAnsi" w:eastAsiaTheme="majorEastAsia" w:hAnsiTheme="majorHAnsi" w:cstheme="majorBidi"/>
          <w:bCs/>
        </w:rPr>
        <w:t xml:space="preserve">, including: </w:t>
      </w:r>
    </w:p>
    <w:p w14:paraId="7FD2B1DF" w14:textId="429A4AA2" w:rsidR="00F145C1" w:rsidRPr="00125233" w:rsidRDefault="00D04FB5" w:rsidP="004365BC">
      <w:pPr>
        <w:pStyle w:val="Bullet2"/>
        <w:numPr>
          <w:ilvl w:val="0"/>
          <w:numId w:val="25"/>
        </w:numPr>
        <w:spacing w:before="40" w:after="120"/>
        <w:ind w:left="851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t</w:t>
      </w:r>
      <w:r w:rsidR="00760EED" w:rsidRPr="00125233">
        <w:rPr>
          <w:rFonts w:asciiTheme="majorHAnsi" w:eastAsiaTheme="majorEastAsia" w:hAnsiTheme="majorHAnsi" w:cstheme="majorBidi"/>
          <w:bCs/>
        </w:rPr>
        <w:t>he completion in full of a</w:t>
      </w:r>
      <w:r w:rsidR="00F145C1" w:rsidRPr="00125233">
        <w:rPr>
          <w:rFonts w:asciiTheme="majorHAnsi" w:eastAsiaTheme="majorEastAsia" w:hAnsiTheme="majorHAnsi" w:cstheme="majorBidi"/>
          <w:bCs/>
        </w:rPr>
        <w:t>ll</w:t>
      </w:r>
      <w:r w:rsidR="00760EED" w:rsidRPr="00125233">
        <w:rPr>
          <w:rFonts w:asciiTheme="majorHAnsi" w:eastAsiaTheme="majorEastAsia" w:hAnsiTheme="majorHAnsi" w:cstheme="majorBidi"/>
          <w:bCs/>
        </w:rPr>
        <w:t xml:space="preserve"> mandatory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 fields</w:t>
      </w:r>
      <w:r w:rsidR="00760EED" w:rsidRPr="00125233">
        <w:rPr>
          <w:rFonts w:asciiTheme="majorHAnsi" w:eastAsiaTheme="majorEastAsia" w:hAnsiTheme="majorHAnsi" w:cstheme="majorBidi"/>
          <w:bCs/>
        </w:rPr>
        <w:t>,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 in particular </w:t>
      </w:r>
      <w:r w:rsidR="009D74FB">
        <w:rPr>
          <w:rFonts w:asciiTheme="majorHAnsi" w:eastAsiaTheme="majorEastAsia" w:hAnsiTheme="majorHAnsi" w:cstheme="majorBidi"/>
          <w:bCs/>
        </w:rPr>
        <w:t xml:space="preserve">providing </w:t>
      </w:r>
      <w:r w:rsidR="00F145C1" w:rsidRPr="00125233">
        <w:rPr>
          <w:rFonts w:asciiTheme="majorHAnsi" w:eastAsiaTheme="majorEastAsia" w:hAnsiTheme="majorHAnsi" w:cstheme="majorBidi"/>
          <w:bCs/>
        </w:rPr>
        <w:t>the correct bank</w:t>
      </w:r>
      <w:r w:rsidR="009D74FB">
        <w:rPr>
          <w:rFonts w:asciiTheme="majorHAnsi" w:eastAsiaTheme="majorEastAsia" w:hAnsiTheme="majorHAnsi" w:cstheme="majorBidi"/>
          <w:bCs/>
        </w:rPr>
        <w:t xml:space="preserve"> account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 and contact </w:t>
      </w:r>
      <w:proofErr w:type="gramStart"/>
      <w:r w:rsidR="00F145C1" w:rsidRPr="00125233">
        <w:rPr>
          <w:rFonts w:asciiTheme="majorHAnsi" w:eastAsiaTheme="majorEastAsia" w:hAnsiTheme="majorHAnsi" w:cstheme="majorBidi"/>
          <w:bCs/>
        </w:rPr>
        <w:t>details</w:t>
      </w:r>
      <w:proofErr w:type="gramEnd"/>
    </w:p>
    <w:p w14:paraId="50FEB07F" w14:textId="65C7FF59" w:rsidR="00F145C1" w:rsidRPr="00125233" w:rsidRDefault="00D04FB5" w:rsidP="004365BC">
      <w:pPr>
        <w:pStyle w:val="Bullet2"/>
        <w:numPr>
          <w:ilvl w:val="0"/>
          <w:numId w:val="25"/>
        </w:numPr>
        <w:spacing w:before="40" w:after="120"/>
        <w:ind w:left="851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p</w:t>
      </w:r>
      <w:r w:rsidR="009D74FB">
        <w:rPr>
          <w:rFonts w:asciiTheme="majorHAnsi" w:eastAsiaTheme="majorEastAsia" w:hAnsiTheme="majorHAnsi" w:cstheme="majorBidi"/>
          <w:bCs/>
        </w:rPr>
        <w:t>roviding</w:t>
      </w:r>
      <w:r w:rsidR="009D74FB" w:rsidRPr="00125233">
        <w:rPr>
          <w:rFonts w:asciiTheme="majorHAnsi" w:eastAsiaTheme="majorEastAsia" w:hAnsiTheme="majorHAnsi" w:cstheme="majorBidi"/>
          <w:bCs/>
        </w:rPr>
        <w:t xml:space="preserve"> </w:t>
      </w:r>
      <w:r w:rsidR="00760EED" w:rsidRPr="00125233">
        <w:rPr>
          <w:rFonts w:asciiTheme="majorHAnsi" w:eastAsiaTheme="majorEastAsia" w:hAnsiTheme="majorHAnsi" w:cstheme="majorBidi"/>
          <w:bCs/>
        </w:rPr>
        <w:t>answers to all q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uestions and </w:t>
      </w:r>
      <w:r w:rsidR="00760EED" w:rsidRPr="00125233">
        <w:rPr>
          <w:rFonts w:asciiTheme="majorHAnsi" w:eastAsiaTheme="majorEastAsia" w:hAnsiTheme="majorHAnsi" w:cstheme="majorBidi"/>
          <w:bCs/>
        </w:rPr>
        <w:t xml:space="preserve">ensuring they 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saved </w:t>
      </w:r>
      <w:r w:rsidR="00760EED" w:rsidRPr="00125233">
        <w:rPr>
          <w:rFonts w:asciiTheme="majorHAnsi" w:eastAsiaTheme="majorEastAsia" w:hAnsiTheme="majorHAnsi" w:cstheme="majorBidi"/>
          <w:bCs/>
        </w:rPr>
        <w:t>t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he application </w:t>
      </w:r>
      <w:proofErr w:type="gramStart"/>
      <w:r w:rsidR="00F145C1" w:rsidRPr="00125233">
        <w:rPr>
          <w:rFonts w:asciiTheme="majorHAnsi" w:eastAsiaTheme="majorEastAsia" w:hAnsiTheme="majorHAnsi" w:cstheme="majorBidi"/>
          <w:bCs/>
        </w:rPr>
        <w:t>form</w:t>
      </w:r>
      <w:proofErr w:type="gramEnd"/>
    </w:p>
    <w:p w14:paraId="55C5D4F9" w14:textId="449BE71A" w:rsidR="00F145C1" w:rsidRPr="00125233" w:rsidRDefault="00D04FB5" w:rsidP="004365BC">
      <w:pPr>
        <w:pStyle w:val="Bullet2"/>
        <w:numPr>
          <w:ilvl w:val="0"/>
          <w:numId w:val="25"/>
        </w:numPr>
        <w:spacing w:before="40" w:after="120"/>
        <w:ind w:left="851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m</w:t>
      </w:r>
      <w:r w:rsidR="00760EED" w:rsidRPr="00125233">
        <w:rPr>
          <w:rFonts w:asciiTheme="majorHAnsi" w:eastAsiaTheme="majorEastAsia" w:hAnsiTheme="majorHAnsi" w:cstheme="majorBidi"/>
          <w:bCs/>
        </w:rPr>
        <w:t>andatory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 attachments </w:t>
      </w:r>
      <w:r w:rsidR="00760EED" w:rsidRPr="00125233">
        <w:rPr>
          <w:rFonts w:asciiTheme="majorHAnsi" w:eastAsiaTheme="majorEastAsia" w:hAnsiTheme="majorHAnsi" w:cstheme="majorBidi"/>
          <w:bCs/>
        </w:rPr>
        <w:t xml:space="preserve">were 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completed </w:t>
      </w:r>
      <w:r w:rsidR="00760EED" w:rsidRPr="00125233">
        <w:rPr>
          <w:rFonts w:asciiTheme="majorHAnsi" w:eastAsiaTheme="majorEastAsia" w:hAnsiTheme="majorHAnsi" w:cstheme="majorBidi"/>
          <w:bCs/>
        </w:rPr>
        <w:t>and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 saved into the relevant section/s </w:t>
      </w:r>
      <w:r w:rsidR="009D74FB">
        <w:rPr>
          <w:rFonts w:asciiTheme="majorHAnsi" w:eastAsiaTheme="majorEastAsia" w:hAnsiTheme="majorHAnsi" w:cstheme="majorBidi"/>
          <w:bCs/>
        </w:rPr>
        <w:t>with</w:t>
      </w:r>
      <w:r w:rsidR="00760EED" w:rsidRPr="00125233">
        <w:rPr>
          <w:rFonts w:asciiTheme="majorHAnsi" w:eastAsiaTheme="majorEastAsia" w:hAnsiTheme="majorHAnsi" w:cstheme="majorBidi"/>
          <w:bCs/>
        </w:rPr>
        <w:t>in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 the application form.</w:t>
      </w:r>
    </w:p>
    <w:p w14:paraId="21883052" w14:textId="542231C6" w:rsidR="00F145C1" w:rsidRPr="00125233" w:rsidRDefault="00D04FB5" w:rsidP="003B0120">
      <w:pPr>
        <w:pStyle w:val="Bullet2"/>
        <w:numPr>
          <w:ilvl w:val="0"/>
          <w:numId w:val="23"/>
        </w:numPr>
        <w:spacing w:before="40" w:after="120"/>
        <w:ind w:left="567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L</w:t>
      </w:r>
      <w:r w:rsidR="00F145C1" w:rsidRPr="00125233">
        <w:rPr>
          <w:rFonts w:asciiTheme="majorHAnsi" w:eastAsiaTheme="majorEastAsia" w:hAnsiTheme="majorHAnsi" w:cstheme="majorBidi"/>
          <w:bCs/>
        </w:rPr>
        <w:t>ack of, or missing information, may have impacted the overall consideration of an application.</w:t>
      </w:r>
    </w:p>
    <w:p w14:paraId="7F4B342E" w14:textId="1CD2F176" w:rsidR="00DF5AE5" w:rsidRPr="00125233" w:rsidRDefault="005A3264" w:rsidP="003B0120">
      <w:pPr>
        <w:pStyle w:val="Bullet2"/>
        <w:numPr>
          <w:ilvl w:val="0"/>
          <w:numId w:val="23"/>
        </w:numPr>
        <w:spacing w:before="40" w:after="120"/>
        <w:ind w:left="567"/>
        <w:rPr>
          <w:rFonts w:asciiTheme="majorHAnsi" w:eastAsiaTheme="majorEastAsia" w:hAnsiTheme="majorHAnsi" w:cstheme="majorBidi"/>
          <w:bCs/>
        </w:rPr>
      </w:pPr>
      <w:r w:rsidRPr="00125233">
        <w:rPr>
          <w:rFonts w:asciiTheme="majorHAnsi" w:eastAsiaTheme="majorEastAsia" w:hAnsiTheme="majorHAnsi" w:cstheme="majorBidi"/>
          <w:bCs/>
        </w:rPr>
        <w:t>The Hub’s</w:t>
      </w:r>
      <w:r w:rsidR="00F145C1" w:rsidRPr="00125233">
        <w:rPr>
          <w:rFonts w:asciiTheme="majorHAnsi" w:eastAsiaTheme="majorEastAsia" w:hAnsiTheme="majorHAnsi" w:cstheme="majorBidi"/>
          <w:bCs/>
        </w:rPr>
        <w:t xml:space="preserve"> Hotline was available via </w:t>
      </w:r>
      <w:hyperlink r:id="rId10" w:history="1">
        <w:r w:rsidR="00F145C1" w:rsidRPr="00125233">
          <w:rPr>
            <w:rStyle w:val="Hyperlink"/>
            <w:rFonts w:asciiTheme="majorHAnsi" w:eastAsiaTheme="majorEastAsia" w:hAnsiTheme="majorHAnsi" w:cstheme="majorBidi"/>
            <w:bCs/>
          </w:rPr>
          <w:t>support@communitygrants.gov.au</w:t>
        </w:r>
      </w:hyperlink>
      <w:r w:rsidR="00F145C1" w:rsidRPr="00125233">
        <w:rPr>
          <w:rFonts w:asciiTheme="majorHAnsi" w:eastAsiaTheme="majorEastAsia" w:hAnsiTheme="majorHAnsi" w:cstheme="majorBidi"/>
          <w:bCs/>
        </w:rPr>
        <w:t xml:space="preserve"> to </w:t>
      </w:r>
      <w:r w:rsidR="009D74FB">
        <w:rPr>
          <w:rFonts w:asciiTheme="majorHAnsi" w:eastAsiaTheme="majorEastAsia" w:hAnsiTheme="majorHAnsi" w:cstheme="majorBidi"/>
          <w:bCs/>
        </w:rPr>
        <w:t>assist</w:t>
      </w:r>
      <w:r w:rsidR="00F145C1" w:rsidRPr="00125233">
        <w:rPr>
          <w:rFonts w:asciiTheme="majorHAnsi" w:eastAsiaTheme="majorEastAsia" w:hAnsiTheme="majorHAnsi" w:cstheme="majorBidi"/>
          <w:bCs/>
        </w:rPr>
        <w:t>.</w:t>
      </w:r>
    </w:p>
    <w:p w14:paraId="2879F8CF" w14:textId="3EDC49ED" w:rsidR="00F145C1" w:rsidRPr="00125233" w:rsidRDefault="00F145C1" w:rsidP="003B0120">
      <w:pPr>
        <w:pStyle w:val="Bullet2"/>
        <w:numPr>
          <w:ilvl w:val="0"/>
          <w:numId w:val="23"/>
        </w:numPr>
        <w:spacing w:before="40" w:after="120"/>
        <w:ind w:left="567"/>
        <w:rPr>
          <w:rFonts w:asciiTheme="majorHAnsi" w:eastAsiaTheme="majorEastAsia" w:hAnsiTheme="majorHAnsi" w:cstheme="majorBidi"/>
          <w:bCs/>
        </w:rPr>
      </w:pPr>
      <w:r w:rsidRPr="00125233">
        <w:rPr>
          <w:rFonts w:asciiTheme="majorHAnsi" w:eastAsiaTheme="majorEastAsia" w:hAnsiTheme="majorHAnsi" w:cstheme="majorBidi"/>
          <w:bCs/>
        </w:rPr>
        <w:t xml:space="preserve">Applications </w:t>
      </w:r>
      <w:r w:rsidR="00DF5AE5" w:rsidRPr="00125233">
        <w:rPr>
          <w:rFonts w:asciiTheme="majorHAnsi" w:eastAsiaTheme="majorEastAsia" w:hAnsiTheme="majorHAnsi" w:cstheme="majorBidi"/>
          <w:bCs/>
        </w:rPr>
        <w:t>which</w:t>
      </w:r>
      <w:r w:rsidRPr="00125233">
        <w:rPr>
          <w:rFonts w:asciiTheme="majorHAnsi" w:eastAsiaTheme="majorEastAsia" w:hAnsiTheme="majorHAnsi" w:cstheme="majorBidi"/>
          <w:bCs/>
        </w:rPr>
        <w:t xml:space="preserve"> were not completed in full </w:t>
      </w:r>
      <w:r w:rsidR="00DF5AE5" w:rsidRPr="00125233">
        <w:rPr>
          <w:rFonts w:asciiTheme="majorHAnsi" w:eastAsiaTheme="majorEastAsia" w:hAnsiTheme="majorHAnsi" w:cstheme="majorBidi"/>
          <w:bCs/>
        </w:rPr>
        <w:t xml:space="preserve">or correctly as per the </w:t>
      </w:r>
      <w:r w:rsidR="00726042">
        <w:rPr>
          <w:rFonts w:asciiTheme="majorHAnsi" w:eastAsiaTheme="majorEastAsia" w:hAnsiTheme="majorHAnsi" w:cstheme="majorBidi"/>
          <w:bCs/>
        </w:rPr>
        <w:t>g</w:t>
      </w:r>
      <w:r w:rsidR="00DF5AE5" w:rsidRPr="00125233">
        <w:rPr>
          <w:rFonts w:asciiTheme="majorHAnsi" w:eastAsiaTheme="majorEastAsia" w:hAnsiTheme="majorHAnsi" w:cstheme="majorBidi"/>
          <w:bCs/>
        </w:rPr>
        <w:t xml:space="preserve">uidelines </w:t>
      </w:r>
      <w:r w:rsidRPr="00125233">
        <w:rPr>
          <w:rFonts w:asciiTheme="majorHAnsi" w:eastAsiaTheme="majorEastAsia" w:hAnsiTheme="majorHAnsi" w:cstheme="majorBidi"/>
          <w:bCs/>
        </w:rPr>
        <w:t>may have been deemed as non-compliant or ineligible and may not have been considered</w:t>
      </w:r>
      <w:r w:rsidR="00DF5AE5" w:rsidRPr="00125233">
        <w:rPr>
          <w:rFonts w:asciiTheme="majorHAnsi" w:eastAsiaTheme="majorEastAsia" w:hAnsiTheme="majorHAnsi" w:cstheme="majorBidi"/>
          <w:bCs/>
        </w:rPr>
        <w:t xml:space="preserve"> for funding</w:t>
      </w:r>
      <w:r w:rsidRPr="00125233">
        <w:rPr>
          <w:rFonts w:asciiTheme="majorHAnsi" w:eastAsiaTheme="majorEastAsia" w:hAnsiTheme="majorHAnsi" w:cstheme="majorBidi"/>
          <w:bCs/>
        </w:rPr>
        <w:t>.</w:t>
      </w:r>
    </w:p>
    <w:p w14:paraId="0DAA3B9F" w14:textId="240CF080" w:rsidR="008E4CDD" w:rsidRPr="00125233" w:rsidRDefault="008E4CDD" w:rsidP="00C60189">
      <w:pPr>
        <w:pStyle w:val="Bullet2"/>
        <w:numPr>
          <w:ilvl w:val="0"/>
          <w:numId w:val="0"/>
        </w:numPr>
        <w:spacing w:before="40" w:after="120"/>
        <w:rPr>
          <w:rFonts w:asciiTheme="majorHAnsi" w:eastAsiaTheme="majorEastAsia" w:hAnsiTheme="majorHAnsi" w:cstheme="majorBidi"/>
          <w:b/>
          <w:bCs/>
          <w:color w:val="CF0A2C" w:themeColor="accent1"/>
        </w:rPr>
      </w:pPr>
      <w:r w:rsidRPr="00125233">
        <w:rPr>
          <w:rFonts w:asciiTheme="majorHAnsi" w:eastAsiaTheme="majorEastAsia" w:hAnsiTheme="majorHAnsi" w:cstheme="majorBidi"/>
          <w:b/>
          <w:bCs/>
          <w:color w:val="CF0A2C" w:themeColor="accent1"/>
        </w:rPr>
        <w:t>Eligible entity types</w:t>
      </w:r>
    </w:p>
    <w:p w14:paraId="4556F9F4" w14:textId="2FBE73A2" w:rsidR="005E0B8D" w:rsidRPr="00125233" w:rsidRDefault="005E0B8D" w:rsidP="003B0120">
      <w:pPr>
        <w:pStyle w:val="BodyText"/>
        <w:numPr>
          <w:ilvl w:val="0"/>
          <w:numId w:val="19"/>
        </w:numPr>
        <w:ind w:left="567"/>
      </w:pPr>
      <w:r w:rsidRPr="00125233">
        <w:t xml:space="preserve">Organisations needed to clearly establish their legal entity status to ensure they had the required legal </w:t>
      </w:r>
      <w:r w:rsidR="009C0F01" w:rsidRPr="00125233">
        <w:t xml:space="preserve">entity </w:t>
      </w:r>
      <w:r w:rsidRPr="00125233">
        <w:t>status to apply for Volunteer Grants:</w:t>
      </w:r>
    </w:p>
    <w:p w14:paraId="57E63AFC" w14:textId="390C2290" w:rsidR="005E0B8D" w:rsidRPr="00125233" w:rsidRDefault="005E0B8D" w:rsidP="003B0120">
      <w:pPr>
        <w:pStyle w:val="BodyText"/>
        <w:numPr>
          <w:ilvl w:val="0"/>
          <w:numId w:val="22"/>
        </w:numPr>
        <w:ind w:left="851"/>
      </w:pPr>
      <w:r w:rsidRPr="00125233">
        <w:t xml:space="preserve">Organisations were encouraged to seek information as to whether their legal entity name and/or trading name was registered for use under the </w:t>
      </w:r>
      <w:r w:rsidR="009C0F01" w:rsidRPr="00125233">
        <w:t>Australian Business Number (</w:t>
      </w:r>
      <w:r w:rsidRPr="00125233">
        <w:t>ABN</w:t>
      </w:r>
      <w:r w:rsidR="009C0F01" w:rsidRPr="00125233">
        <w:t>)</w:t>
      </w:r>
      <w:r w:rsidRPr="00125233">
        <w:t xml:space="preserve"> they provided </w:t>
      </w:r>
      <w:r w:rsidR="009D74FB">
        <w:t>i</w:t>
      </w:r>
      <w:r w:rsidRPr="00125233">
        <w:t xml:space="preserve">n the application form. It was important that applicants applying as a </w:t>
      </w:r>
      <w:r w:rsidR="00521968" w:rsidRPr="00125233">
        <w:t>legal entity</w:t>
      </w:r>
      <w:r w:rsidRPr="00125233">
        <w:t xml:space="preserve"> provided the correct ABN associated with the legal name and/or trading name of their organisation.</w:t>
      </w:r>
    </w:p>
    <w:p w14:paraId="280B3E1B" w14:textId="691BA450" w:rsidR="00766469" w:rsidRPr="00125233" w:rsidRDefault="00766469" w:rsidP="003B0120">
      <w:pPr>
        <w:pStyle w:val="BodyText"/>
        <w:numPr>
          <w:ilvl w:val="0"/>
          <w:numId w:val="22"/>
        </w:numPr>
        <w:ind w:left="851"/>
      </w:pPr>
      <w:r w:rsidRPr="00125233">
        <w:t>Unincorporated organisations were required to nominate an individual to accept personal legal liability on behalf of the organisation.</w:t>
      </w:r>
    </w:p>
    <w:p w14:paraId="28B9D16C" w14:textId="28AA744C" w:rsidR="00521968" w:rsidRPr="00125233" w:rsidRDefault="005E0B8D" w:rsidP="00EB3249">
      <w:pPr>
        <w:pStyle w:val="BodyText"/>
        <w:numPr>
          <w:ilvl w:val="0"/>
          <w:numId w:val="22"/>
        </w:numPr>
        <w:ind w:left="851"/>
      </w:pPr>
      <w:r w:rsidRPr="00125233">
        <w:t>Applicants needed to read the grant opportunity documents to understand eligibility requirements.</w:t>
      </w:r>
    </w:p>
    <w:p w14:paraId="4187C477" w14:textId="55D40DA4" w:rsidR="005E0B8D" w:rsidRPr="00125233" w:rsidRDefault="005E0B8D" w:rsidP="004365BC">
      <w:pPr>
        <w:pStyle w:val="BodyText"/>
        <w:numPr>
          <w:ilvl w:val="0"/>
          <w:numId w:val="22"/>
        </w:numPr>
        <w:ind w:left="851"/>
      </w:pPr>
      <w:r w:rsidRPr="00125233">
        <w:lastRenderedPageBreak/>
        <w:t xml:space="preserve">The </w:t>
      </w:r>
      <w:r w:rsidR="00607026">
        <w:t>d</w:t>
      </w:r>
      <w:r w:rsidR="00F377B9" w:rsidRPr="00125233">
        <w:t xml:space="preserve">epartment </w:t>
      </w:r>
      <w:r w:rsidRPr="00125233">
        <w:t xml:space="preserve">may have requested additional supporting documentation to confirm an organisation’s entity type and status, for example, </w:t>
      </w:r>
      <w:r w:rsidR="00171814">
        <w:t>c</w:t>
      </w:r>
      <w:r w:rsidR="00171814" w:rsidRPr="00125233">
        <w:t>ertificate</w:t>
      </w:r>
      <w:r w:rsidR="00171814">
        <w:t xml:space="preserve"> of i</w:t>
      </w:r>
      <w:r w:rsidRPr="00125233">
        <w:t xml:space="preserve">ncorporation or </w:t>
      </w:r>
      <w:r w:rsidR="00171814">
        <w:t>t</w:t>
      </w:r>
      <w:r w:rsidRPr="00125233">
        <w:t xml:space="preserve">rust </w:t>
      </w:r>
      <w:r w:rsidR="00171814">
        <w:t>d</w:t>
      </w:r>
      <w:r w:rsidRPr="00125233">
        <w:t>eed.</w:t>
      </w:r>
    </w:p>
    <w:p w14:paraId="0F028A7A" w14:textId="28BE76C5" w:rsidR="00C3786E" w:rsidRPr="00125233" w:rsidRDefault="00C3786E" w:rsidP="004365BC">
      <w:pPr>
        <w:pStyle w:val="Heading3"/>
        <w:keepLines w:val="0"/>
        <w:spacing w:before="240"/>
        <w:rPr>
          <w:color w:val="CF0A2C" w:themeColor="accent1"/>
          <w:szCs w:val="22"/>
        </w:rPr>
      </w:pPr>
      <w:bookmarkStart w:id="0" w:name="_Hlk163205910"/>
      <w:r w:rsidRPr="00125233">
        <w:rPr>
          <w:color w:val="CF0A2C" w:themeColor="accent1"/>
          <w:szCs w:val="22"/>
        </w:rPr>
        <w:t xml:space="preserve">Multiple </w:t>
      </w:r>
      <w:r w:rsidR="00366D88">
        <w:rPr>
          <w:color w:val="CF0A2C" w:themeColor="accent1"/>
          <w:szCs w:val="22"/>
        </w:rPr>
        <w:t>a</w:t>
      </w:r>
      <w:r w:rsidRPr="00125233">
        <w:rPr>
          <w:color w:val="CF0A2C" w:themeColor="accent1"/>
          <w:szCs w:val="22"/>
        </w:rPr>
        <w:t xml:space="preserve">pplications </w:t>
      </w:r>
    </w:p>
    <w:p w14:paraId="56EFD611" w14:textId="67241D62" w:rsidR="00445E28" w:rsidRPr="00125233" w:rsidRDefault="00ED5759" w:rsidP="004365BC">
      <w:pPr>
        <w:pStyle w:val="BodyText"/>
        <w:numPr>
          <w:ilvl w:val="0"/>
          <w:numId w:val="30"/>
        </w:numPr>
        <w:ind w:left="567"/>
      </w:pPr>
      <w:r w:rsidRPr="00125233">
        <w:t xml:space="preserve">As per section 4.1 of the </w:t>
      </w:r>
      <w:r w:rsidR="00726042">
        <w:t>g</w:t>
      </w:r>
      <w:r w:rsidRPr="00125233">
        <w:t xml:space="preserve">uidelines an organisation </w:t>
      </w:r>
      <w:r w:rsidR="00365EF1" w:rsidRPr="00125233">
        <w:t>c</w:t>
      </w:r>
      <w:r w:rsidR="00365EF1">
        <w:t>ould</w:t>
      </w:r>
      <w:r w:rsidR="00365EF1" w:rsidRPr="00125233">
        <w:t xml:space="preserve"> </w:t>
      </w:r>
      <w:r w:rsidRPr="00125233">
        <w:t>only apply for one Volunteer Grant. Where an organisation work</w:t>
      </w:r>
      <w:r w:rsidR="00365EF1">
        <w:t>ed</w:t>
      </w:r>
      <w:r w:rsidRPr="00125233">
        <w:t xml:space="preserve"> across more than one electorate, and ha</w:t>
      </w:r>
      <w:r w:rsidR="00365EF1">
        <w:t>d</w:t>
      </w:r>
      <w:r w:rsidRPr="00125233">
        <w:t xml:space="preserve"> been nominated by more than one MP, it </w:t>
      </w:r>
      <w:r w:rsidR="00365EF1" w:rsidRPr="00125233">
        <w:t>c</w:t>
      </w:r>
      <w:r w:rsidR="00365EF1">
        <w:t>ould</w:t>
      </w:r>
      <w:r w:rsidR="00365EF1" w:rsidRPr="00125233">
        <w:t xml:space="preserve"> </w:t>
      </w:r>
      <w:r w:rsidRPr="00125233">
        <w:t>only apply for a Volunteer Grant in one electorate.</w:t>
      </w:r>
    </w:p>
    <w:p w14:paraId="0658F20E" w14:textId="566B5A5B" w:rsidR="00ED5759" w:rsidRPr="00125233" w:rsidRDefault="00F956F0" w:rsidP="004365BC">
      <w:pPr>
        <w:pStyle w:val="BodyText"/>
        <w:numPr>
          <w:ilvl w:val="0"/>
          <w:numId w:val="30"/>
        </w:numPr>
        <w:ind w:left="567"/>
      </w:pPr>
      <w:r w:rsidRPr="00125233">
        <w:t>Where an organisation submit</w:t>
      </w:r>
      <w:r w:rsidR="00445E28" w:rsidRPr="00125233">
        <w:t>ted</w:t>
      </w:r>
      <w:r w:rsidRPr="00125233">
        <w:t xml:space="preserve"> more than one application the </w:t>
      </w:r>
      <w:r w:rsidR="00607026">
        <w:t>d</w:t>
      </w:r>
      <w:r w:rsidRPr="00125233">
        <w:t xml:space="preserve">epartment </w:t>
      </w:r>
      <w:r w:rsidR="00445E28" w:rsidRPr="00125233">
        <w:t xml:space="preserve">determined which application would proceed, according to the process specified in the </w:t>
      </w:r>
      <w:r w:rsidR="00726042">
        <w:t>g</w:t>
      </w:r>
      <w:r w:rsidR="00445E28" w:rsidRPr="00125233">
        <w:t>uidelines.  As per section 7</w:t>
      </w:r>
      <w:r w:rsidR="00365EF1">
        <w:t>,</w:t>
      </w:r>
      <w:r w:rsidR="00445E28" w:rsidRPr="00125233">
        <w:t xml:space="preserve"> where an organisation applie</w:t>
      </w:r>
      <w:r w:rsidR="00365EF1">
        <w:t>d</w:t>
      </w:r>
      <w:r w:rsidR="00445E28" w:rsidRPr="00125233">
        <w:t xml:space="preserve"> across multiple electorates, the application for the highest grant amount </w:t>
      </w:r>
      <w:r w:rsidR="00365EF1">
        <w:t>was</w:t>
      </w:r>
      <w:r w:rsidR="00445E28" w:rsidRPr="00125233">
        <w:t xml:space="preserve"> considered for a Volunteer </w:t>
      </w:r>
      <w:r w:rsidR="00365EF1" w:rsidRPr="00125233">
        <w:t>Grant.</w:t>
      </w:r>
    </w:p>
    <w:p w14:paraId="7D807623" w14:textId="124A3840" w:rsidR="00753B33" w:rsidRPr="00125233" w:rsidRDefault="00EB3249" w:rsidP="00DA7230">
      <w:pPr>
        <w:pStyle w:val="BodyText"/>
        <w:numPr>
          <w:ilvl w:val="1"/>
          <w:numId w:val="26"/>
        </w:numPr>
        <w:ind w:left="709" w:hanging="425"/>
      </w:pPr>
      <w:r w:rsidRPr="00125233">
        <w:t>Organisations</w:t>
      </w:r>
      <w:r w:rsidR="00C3786E" w:rsidRPr="00125233">
        <w:t xml:space="preserve"> completing an application </w:t>
      </w:r>
      <w:r w:rsidRPr="00125233">
        <w:t xml:space="preserve">form </w:t>
      </w:r>
      <w:r w:rsidR="00C3786E" w:rsidRPr="00125233">
        <w:t xml:space="preserve">were encouraged to consult with other members </w:t>
      </w:r>
      <w:r w:rsidRPr="00125233">
        <w:t>of</w:t>
      </w:r>
      <w:r w:rsidR="00C3786E" w:rsidRPr="00125233">
        <w:t xml:space="preserve"> their organisation</w:t>
      </w:r>
      <w:r w:rsidR="00ED5759" w:rsidRPr="00125233">
        <w:t xml:space="preserve"> </w:t>
      </w:r>
      <w:r w:rsidR="00C3786E" w:rsidRPr="00125233">
        <w:t xml:space="preserve">to ensure </w:t>
      </w:r>
      <w:r w:rsidRPr="00125233">
        <w:t>the submission of only one application form</w:t>
      </w:r>
      <w:r w:rsidR="00753B33" w:rsidRPr="00125233">
        <w:t xml:space="preserve"> per organisation</w:t>
      </w:r>
      <w:r w:rsidRPr="00125233">
        <w:t>.</w:t>
      </w:r>
    </w:p>
    <w:p w14:paraId="25BF187C" w14:textId="6F7627B4" w:rsidR="00ED5759" w:rsidRPr="00125233" w:rsidRDefault="00ED5759" w:rsidP="00DA7230">
      <w:pPr>
        <w:pStyle w:val="BodyText"/>
        <w:numPr>
          <w:ilvl w:val="1"/>
          <w:numId w:val="26"/>
        </w:numPr>
        <w:ind w:left="709" w:hanging="425"/>
      </w:pPr>
      <w:r w:rsidRPr="00125233">
        <w:t xml:space="preserve">Local branches of larger umbrella organisations (for example, Scouts Australia) </w:t>
      </w:r>
      <w:proofErr w:type="gramStart"/>
      <w:r w:rsidRPr="00125233">
        <w:t>were considered to be</w:t>
      </w:r>
      <w:proofErr w:type="gramEnd"/>
      <w:r w:rsidRPr="00125233">
        <w:t xml:space="preserve"> organisations in their own right</w:t>
      </w:r>
      <w:r w:rsidR="006867F6">
        <w:t>,</w:t>
      </w:r>
      <w:r w:rsidRPr="00125233">
        <w:t xml:space="preserve"> however if the </w:t>
      </w:r>
      <w:r w:rsidR="00607026">
        <w:t>d</w:t>
      </w:r>
      <w:r w:rsidRPr="00125233">
        <w:t>epartment w</w:t>
      </w:r>
      <w:r w:rsidR="00365EF1">
        <w:t>as</w:t>
      </w:r>
      <w:r w:rsidRPr="00125233">
        <w:t xml:space="preserve"> unable to identify th</w:t>
      </w:r>
      <w:r w:rsidR="00365EF1">
        <w:t>eir</w:t>
      </w:r>
      <w:r w:rsidRPr="00125233">
        <w:t xml:space="preserve"> structure</w:t>
      </w:r>
      <w:r w:rsidR="00F377B9" w:rsidRPr="00125233">
        <w:t xml:space="preserve"> from </w:t>
      </w:r>
      <w:r w:rsidR="00365EF1" w:rsidRPr="00125233">
        <w:t>publicly</w:t>
      </w:r>
      <w:r w:rsidR="00F377B9" w:rsidRPr="00125233">
        <w:t xml:space="preserve"> available information,</w:t>
      </w:r>
      <w:r w:rsidRPr="00125233">
        <w:t xml:space="preserve"> only</w:t>
      </w:r>
      <w:r w:rsidR="00C76668" w:rsidRPr="00125233">
        <w:t xml:space="preserve"> one</w:t>
      </w:r>
      <w:r w:rsidRPr="00125233">
        <w:t xml:space="preserve"> application from the organisation was accepted.</w:t>
      </w:r>
    </w:p>
    <w:p w14:paraId="0016CC1A" w14:textId="6CAB32D4" w:rsidR="00753B33" w:rsidRPr="00125233" w:rsidRDefault="00621DF0" w:rsidP="00125233">
      <w:pPr>
        <w:pStyle w:val="Heading3"/>
        <w:keepLines w:val="0"/>
        <w:spacing w:before="240"/>
        <w:rPr>
          <w:color w:val="CF0A2C" w:themeColor="accent1"/>
          <w:szCs w:val="22"/>
        </w:rPr>
      </w:pPr>
      <w:r w:rsidRPr="00125233">
        <w:rPr>
          <w:color w:val="CF0A2C" w:themeColor="accent1"/>
          <w:szCs w:val="22"/>
        </w:rPr>
        <w:t xml:space="preserve">Organisation </w:t>
      </w:r>
      <w:r w:rsidR="00366D88">
        <w:rPr>
          <w:color w:val="CF0A2C" w:themeColor="accent1"/>
          <w:szCs w:val="22"/>
        </w:rPr>
        <w:t>n</w:t>
      </w:r>
      <w:r w:rsidRPr="00125233">
        <w:rPr>
          <w:color w:val="CF0A2C" w:themeColor="accent1"/>
          <w:szCs w:val="22"/>
        </w:rPr>
        <w:t xml:space="preserve">ot </w:t>
      </w:r>
      <w:r w:rsidR="00366D88">
        <w:rPr>
          <w:color w:val="CF0A2C" w:themeColor="accent1"/>
          <w:szCs w:val="22"/>
        </w:rPr>
        <w:t>i</w:t>
      </w:r>
      <w:r w:rsidRPr="00125233">
        <w:rPr>
          <w:color w:val="CF0A2C" w:themeColor="accent1"/>
          <w:szCs w:val="22"/>
        </w:rPr>
        <w:t xml:space="preserve">nvited to </w:t>
      </w:r>
      <w:proofErr w:type="gramStart"/>
      <w:r w:rsidR="00366D88">
        <w:rPr>
          <w:color w:val="CF0A2C" w:themeColor="accent1"/>
          <w:szCs w:val="22"/>
        </w:rPr>
        <w:t>a</w:t>
      </w:r>
      <w:r w:rsidRPr="00125233">
        <w:rPr>
          <w:color w:val="CF0A2C" w:themeColor="accent1"/>
          <w:szCs w:val="22"/>
        </w:rPr>
        <w:t>pply</w:t>
      </w:r>
      <w:proofErr w:type="gramEnd"/>
    </w:p>
    <w:p w14:paraId="0DBABB23" w14:textId="2B06AD8B" w:rsidR="00621DF0" w:rsidRPr="00125233" w:rsidRDefault="00621DF0" w:rsidP="00C76668">
      <w:pPr>
        <w:pStyle w:val="BodyText"/>
        <w:numPr>
          <w:ilvl w:val="1"/>
          <w:numId w:val="26"/>
        </w:numPr>
        <w:ind w:left="709"/>
      </w:pPr>
      <w:r w:rsidRPr="00125233">
        <w:t xml:space="preserve">As per </w:t>
      </w:r>
      <w:r w:rsidR="00F377B9" w:rsidRPr="00125233">
        <w:t xml:space="preserve">section 4.1 </w:t>
      </w:r>
      <w:r w:rsidR="00D64716">
        <w:t xml:space="preserve">of </w:t>
      </w:r>
      <w:r w:rsidRPr="00125233">
        <w:t xml:space="preserve">the </w:t>
      </w:r>
      <w:r w:rsidR="00726042">
        <w:t>g</w:t>
      </w:r>
      <w:r w:rsidRPr="00125233">
        <w:t xml:space="preserve">uidelines an organisation was only able to apply for a grant if they were nominated by the MP and were invited by the </w:t>
      </w:r>
      <w:r w:rsidR="00607026">
        <w:t>d</w:t>
      </w:r>
      <w:r w:rsidRPr="00125233">
        <w:t>epartment to apply. Organisations who were not invited to apply were</w:t>
      </w:r>
      <w:r w:rsidR="008F1E00" w:rsidRPr="00125233">
        <w:t xml:space="preserve"> unable to be assessed.</w:t>
      </w:r>
    </w:p>
    <w:bookmarkEnd w:id="0"/>
    <w:p w14:paraId="43531661" w14:textId="77777777" w:rsidR="00C314F0" w:rsidRPr="00125233" w:rsidRDefault="00C314F0" w:rsidP="00C60189">
      <w:pPr>
        <w:pStyle w:val="Heading2"/>
        <w:spacing w:before="360"/>
        <w:rPr>
          <w:rFonts w:ascii="Arial" w:hAnsi="Arial" w:cs="Arial"/>
          <w:color w:val="CF0A2C" w:themeColor="accent1"/>
          <w:sz w:val="36"/>
          <w:szCs w:val="28"/>
        </w:rPr>
      </w:pPr>
      <w:r w:rsidRPr="00125233">
        <w:rPr>
          <w:rFonts w:ascii="Arial" w:hAnsi="Arial" w:cs="Arial"/>
          <w:b w:val="0"/>
          <w:color w:val="CF0A2C" w:themeColor="accent1"/>
          <w:sz w:val="36"/>
          <w:szCs w:val="28"/>
        </w:rPr>
        <w:t>Individual feedback</w:t>
      </w:r>
      <w:r w:rsidRPr="00125233">
        <w:rPr>
          <w:rFonts w:ascii="Arial" w:hAnsi="Arial" w:cs="Arial"/>
          <w:color w:val="CF0A2C" w:themeColor="accent1"/>
          <w:sz w:val="36"/>
          <w:szCs w:val="28"/>
        </w:rPr>
        <w:t xml:space="preserve"> </w:t>
      </w:r>
    </w:p>
    <w:p w14:paraId="3C3DB03A" w14:textId="419F91A0" w:rsidR="005948DB" w:rsidRDefault="00C314F0" w:rsidP="003B0120">
      <w:pPr>
        <w:pStyle w:val="BodyText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125233">
        <w:rPr>
          <w:color w:val="auto"/>
        </w:rPr>
        <w:t>Individual feedback will not be provided for this grant opportunity.</w:t>
      </w:r>
    </w:p>
    <w:sectPr w:rsidR="005948DB" w:rsidSect="0046602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C025" w14:textId="77777777" w:rsidR="00466020" w:rsidRDefault="00466020" w:rsidP="00772718">
      <w:pPr>
        <w:spacing w:line="240" w:lineRule="auto"/>
      </w:pPr>
      <w:r>
        <w:separator/>
      </w:r>
    </w:p>
  </w:endnote>
  <w:endnote w:type="continuationSeparator" w:id="0">
    <w:p w14:paraId="0B5E1231" w14:textId="77777777" w:rsidR="00466020" w:rsidRDefault="00466020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DBEE" w14:textId="799DEE38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B2B52">
      <w:rPr>
        <w:noProof/>
      </w:rPr>
      <w:t>4</w:t>
    </w:r>
    <w:r>
      <w:fldChar w:fldCharType="end"/>
    </w:r>
    <w:r>
      <w:t xml:space="preserve"> </w:t>
    </w:r>
    <w:r w:rsidR="00D06EAD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DD6459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F60E81">
      <w:tab/>
    </w:r>
    <w:r w:rsidR="004F32AB">
      <w:tab/>
    </w:r>
  </w:p>
  <w:p w14:paraId="3BD95002" w14:textId="77777777" w:rsidR="0033413C" w:rsidRDefault="003341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5BB" w14:textId="7EA83A00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0626">
      <w:rPr>
        <w:noProof/>
      </w:rPr>
      <w:t>1</w:t>
    </w:r>
    <w:r>
      <w:fldChar w:fldCharType="end"/>
    </w:r>
    <w:r>
      <w:t xml:space="preserve"> </w:t>
    </w:r>
    <w:r w:rsidR="00D06EAD">
      <w:t xml:space="preserve">| </w:t>
    </w:r>
    <w:r w:rsidRPr="00A454BF">
      <w:t>Community Grants Hub</w:t>
    </w:r>
    <w:r w:rsidR="00FC1C24">
      <w:tab/>
    </w:r>
    <w:r w:rsidR="00FC1C24">
      <w:tab/>
    </w:r>
  </w:p>
  <w:p w14:paraId="13E52DC8" w14:textId="77777777" w:rsidR="0033413C" w:rsidRDefault="00334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EAFD" w14:textId="77777777" w:rsidR="00466020" w:rsidRDefault="00466020" w:rsidP="00772718">
      <w:pPr>
        <w:spacing w:line="240" w:lineRule="auto"/>
      </w:pPr>
      <w:r>
        <w:separator/>
      </w:r>
    </w:p>
  </w:footnote>
  <w:footnote w:type="continuationSeparator" w:id="0">
    <w:p w14:paraId="10A3D06D" w14:textId="77777777" w:rsidR="00466020" w:rsidRDefault="00466020" w:rsidP="00772718">
      <w:pPr>
        <w:spacing w:line="240" w:lineRule="auto"/>
      </w:pPr>
      <w:r>
        <w:continuationSeparator/>
      </w:r>
    </w:p>
  </w:footnote>
  <w:footnote w:id="1">
    <w:p w14:paraId="5D58FB5B" w14:textId="68265816" w:rsidR="00E45C06" w:rsidRDefault="00E45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5C06">
        <w:t>https://www.grants.gov.au/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643D59D9">
              <wp:simplePos x="0" y="0"/>
              <wp:positionH relativeFrom="page">
                <wp:posOffset>720090</wp:posOffset>
              </wp:positionH>
              <wp:positionV relativeFrom="page">
                <wp:posOffset>706755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57C988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55.65pt" to="538.5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7A41AC7D">
          <wp:simplePos x="0" y="0"/>
          <wp:positionH relativeFrom="page">
            <wp:posOffset>4157980</wp:posOffset>
          </wp:positionH>
          <wp:positionV relativeFrom="page">
            <wp:posOffset>125095</wp:posOffset>
          </wp:positionV>
          <wp:extent cx="3374390" cy="813435"/>
          <wp:effectExtent l="0" t="0" r="0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46618A9E">
              <wp:simplePos x="0" y="0"/>
              <wp:positionH relativeFrom="page">
                <wp:posOffset>807720</wp:posOffset>
              </wp:positionH>
              <wp:positionV relativeFrom="page">
                <wp:posOffset>170815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248E6" id="Group 4" o:spid="_x0000_s1026" alt="Title: Australian Government - Community Grants Hub. Improving your grant experience. - Description: Australian Government - Community Grants Hub. Improving your grant experience." style="position:absolute;margin-left:63.6pt;margin-top:13.45pt;width:258.8pt;height:53.25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Mi0EEjgAAAACg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0818E00">
              <wp:simplePos x="0" y="0"/>
              <wp:positionH relativeFrom="page">
                <wp:posOffset>737235</wp:posOffset>
              </wp:positionH>
              <wp:positionV relativeFrom="page">
                <wp:posOffset>952500</wp:posOffset>
              </wp:positionV>
              <wp:extent cx="6119495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E935C3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8.05pt,75pt" to="539.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547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14:paraId="50063ED3" w14:textId="77777777" w:rsidR="0033413C" w:rsidRDefault="00334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432"/>
    <w:multiLevelType w:val="hybridMultilevel"/>
    <w:tmpl w:val="DE785C14"/>
    <w:lvl w:ilvl="0" w:tplc="92040C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2F64BB"/>
    <w:multiLevelType w:val="hybridMultilevel"/>
    <w:tmpl w:val="A44C8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40CE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264F9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0C0B"/>
    <w:multiLevelType w:val="hybridMultilevel"/>
    <w:tmpl w:val="47588B98"/>
    <w:lvl w:ilvl="0" w:tplc="1E7E25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69B8"/>
      </w:rPr>
    </w:lvl>
    <w:lvl w:ilvl="1" w:tplc="1E7E255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0069B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2755E"/>
    <w:multiLevelType w:val="hybridMultilevel"/>
    <w:tmpl w:val="E9223C8E"/>
    <w:lvl w:ilvl="0" w:tplc="236A0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9567443"/>
    <w:multiLevelType w:val="hybridMultilevel"/>
    <w:tmpl w:val="D8909E0A"/>
    <w:lvl w:ilvl="0" w:tplc="6584FA40">
      <w:start w:val="1"/>
      <w:numFmt w:val="decimal"/>
      <w:lvlText w:val="%1."/>
      <w:lvlJc w:val="left"/>
      <w:pPr>
        <w:ind w:left="1020" w:hanging="360"/>
      </w:pPr>
    </w:lvl>
    <w:lvl w:ilvl="1" w:tplc="1BBEB67C">
      <w:start w:val="1"/>
      <w:numFmt w:val="decimal"/>
      <w:lvlText w:val="%2."/>
      <w:lvlJc w:val="left"/>
      <w:pPr>
        <w:ind w:left="1020" w:hanging="360"/>
      </w:pPr>
    </w:lvl>
    <w:lvl w:ilvl="2" w:tplc="265CD976">
      <w:start w:val="1"/>
      <w:numFmt w:val="decimal"/>
      <w:lvlText w:val="%3."/>
      <w:lvlJc w:val="left"/>
      <w:pPr>
        <w:ind w:left="1020" w:hanging="360"/>
      </w:pPr>
    </w:lvl>
    <w:lvl w:ilvl="3" w:tplc="0A361512">
      <w:start w:val="1"/>
      <w:numFmt w:val="decimal"/>
      <w:lvlText w:val="%4."/>
      <w:lvlJc w:val="left"/>
      <w:pPr>
        <w:ind w:left="1020" w:hanging="360"/>
      </w:pPr>
    </w:lvl>
    <w:lvl w:ilvl="4" w:tplc="BF5CA928">
      <w:start w:val="1"/>
      <w:numFmt w:val="decimal"/>
      <w:lvlText w:val="%5."/>
      <w:lvlJc w:val="left"/>
      <w:pPr>
        <w:ind w:left="1020" w:hanging="360"/>
      </w:pPr>
    </w:lvl>
    <w:lvl w:ilvl="5" w:tplc="F614E4A6">
      <w:start w:val="1"/>
      <w:numFmt w:val="decimal"/>
      <w:lvlText w:val="%6."/>
      <w:lvlJc w:val="left"/>
      <w:pPr>
        <w:ind w:left="1020" w:hanging="360"/>
      </w:pPr>
    </w:lvl>
    <w:lvl w:ilvl="6" w:tplc="33CED226">
      <w:start w:val="1"/>
      <w:numFmt w:val="decimal"/>
      <w:lvlText w:val="%7."/>
      <w:lvlJc w:val="left"/>
      <w:pPr>
        <w:ind w:left="1020" w:hanging="360"/>
      </w:pPr>
    </w:lvl>
    <w:lvl w:ilvl="7" w:tplc="8B7A43B8">
      <w:start w:val="1"/>
      <w:numFmt w:val="decimal"/>
      <w:lvlText w:val="%8."/>
      <w:lvlJc w:val="left"/>
      <w:pPr>
        <w:ind w:left="1020" w:hanging="360"/>
      </w:pPr>
    </w:lvl>
    <w:lvl w:ilvl="8" w:tplc="75E08F5A">
      <w:start w:val="1"/>
      <w:numFmt w:val="decimal"/>
      <w:lvlText w:val="%9."/>
      <w:lvlJc w:val="left"/>
      <w:pPr>
        <w:ind w:left="1020" w:hanging="360"/>
      </w:pPr>
    </w:lvl>
  </w:abstractNum>
  <w:abstractNum w:abstractNumId="11" w15:restartNumberingAfterBreak="0">
    <w:nsid w:val="2A2A39AF"/>
    <w:multiLevelType w:val="hybridMultilevel"/>
    <w:tmpl w:val="CB2E221A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6DF3"/>
    <w:multiLevelType w:val="hybridMultilevel"/>
    <w:tmpl w:val="AFB68E3C"/>
    <w:lvl w:ilvl="0" w:tplc="21FAC892">
      <w:start w:val="1"/>
      <w:numFmt w:val="decimal"/>
      <w:lvlText w:val="%1."/>
      <w:lvlJc w:val="left"/>
      <w:pPr>
        <w:ind w:left="1020" w:hanging="360"/>
      </w:pPr>
    </w:lvl>
    <w:lvl w:ilvl="1" w:tplc="3FCE15C4">
      <w:start w:val="1"/>
      <w:numFmt w:val="decimal"/>
      <w:lvlText w:val="%2."/>
      <w:lvlJc w:val="left"/>
      <w:pPr>
        <w:ind w:left="1020" w:hanging="360"/>
      </w:pPr>
    </w:lvl>
    <w:lvl w:ilvl="2" w:tplc="7B584B82">
      <w:start w:val="1"/>
      <w:numFmt w:val="decimal"/>
      <w:lvlText w:val="%3."/>
      <w:lvlJc w:val="left"/>
      <w:pPr>
        <w:ind w:left="1020" w:hanging="360"/>
      </w:pPr>
    </w:lvl>
    <w:lvl w:ilvl="3" w:tplc="34CE25F8">
      <w:start w:val="1"/>
      <w:numFmt w:val="decimal"/>
      <w:lvlText w:val="%4."/>
      <w:lvlJc w:val="left"/>
      <w:pPr>
        <w:ind w:left="1020" w:hanging="360"/>
      </w:pPr>
    </w:lvl>
    <w:lvl w:ilvl="4" w:tplc="279044A8">
      <w:start w:val="1"/>
      <w:numFmt w:val="decimal"/>
      <w:lvlText w:val="%5."/>
      <w:lvlJc w:val="left"/>
      <w:pPr>
        <w:ind w:left="1020" w:hanging="360"/>
      </w:pPr>
    </w:lvl>
    <w:lvl w:ilvl="5" w:tplc="436603EC">
      <w:start w:val="1"/>
      <w:numFmt w:val="decimal"/>
      <w:lvlText w:val="%6."/>
      <w:lvlJc w:val="left"/>
      <w:pPr>
        <w:ind w:left="1020" w:hanging="360"/>
      </w:pPr>
    </w:lvl>
    <w:lvl w:ilvl="6" w:tplc="CECC0B66">
      <w:start w:val="1"/>
      <w:numFmt w:val="decimal"/>
      <w:lvlText w:val="%7."/>
      <w:lvlJc w:val="left"/>
      <w:pPr>
        <w:ind w:left="1020" w:hanging="360"/>
      </w:pPr>
    </w:lvl>
    <w:lvl w:ilvl="7" w:tplc="A670C29E">
      <w:start w:val="1"/>
      <w:numFmt w:val="decimal"/>
      <w:lvlText w:val="%8."/>
      <w:lvlJc w:val="left"/>
      <w:pPr>
        <w:ind w:left="1020" w:hanging="360"/>
      </w:pPr>
    </w:lvl>
    <w:lvl w:ilvl="8" w:tplc="BBE25BAC">
      <w:start w:val="1"/>
      <w:numFmt w:val="decimal"/>
      <w:lvlText w:val="%9."/>
      <w:lvlJc w:val="left"/>
      <w:pPr>
        <w:ind w:left="1020" w:hanging="360"/>
      </w:pPr>
    </w:lvl>
  </w:abstractNum>
  <w:abstractNum w:abstractNumId="14" w15:restartNumberingAfterBreak="0">
    <w:nsid w:val="35C91B74"/>
    <w:multiLevelType w:val="hybridMultilevel"/>
    <w:tmpl w:val="F76A61A6"/>
    <w:lvl w:ilvl="0" w:tplc="92040C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C6F786B"/>
    <w:multiLevelType w:val="hybridMultilevel"/>
    <w:tmpl w:val="CA164FB8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A27CD1"/>
    <w:multiLevelType w:val="hybridMultilevel"/>
    <w:tmpl w:val="342864C6"/>
    <w:lvl w:ilvl="0" w:tplc="92040C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64F90"/>
      </w:rPr>
    </w:lvl>
    <w:lvl w:ilvl="1" w:tplc="236A072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30DFC"/>
    <w:multiLevelType w:val="hybridMultilevel"/>
    <w:tmpl w:val="6ACEE00C"/>
    <w:lvl w:ilvl="0" w:tplc="236A07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E6356E"/>
    <w:multiLevelType w:val="hybridMultilevel"/>
    <w:tmpl w:val="B10A55C0"/>
    <w:lvl w:ilvl="0" w:tplc="BB1CA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236A07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5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07305"/>
    <w:multiLevelType w:val="multilevel"/>
    <w:tmpl w:val="99EEC854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»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27" w15:restartNumberingAfterBreak="0">
    <w:nsid w:val="7B703D42"/>
    <w:multiLevelType w:val="hybridMultilevel"/>
    <w:tmpl w:val="9806CDF2"/>
    <w:lvl w:ilvl="0" w:tplc="92040CE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FF9361E"/>
    <w:multiLevelType w:val="hybridMultilevel"/>
    <w:tmpl w:val="B680C084"/>
    <w:lvl w:ilvl="0" w:tplc="236A072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91595758">
    <w:abstractNumId w:val="0"/>
  </w:num>
  <w:num w:numId="2" w16cid:durableId="392852079">
    <w:abstractNumId w:val="24"/>
  </w:num>
  <w:num w:numId="3" w16cid:durableId="186141209">
    <w:abstractNumId w:val="7"/>
  </w:num>
  <w:num w:numId="4" w16cid:durableId="1740012088">
    <w:abstractNumId w:val="16"/>
  </w:num>
  <w:num w:numId="5" w16cid:durableId="641084626">
    <w:abstractNumId w:val="15"/>
  </w:num>
  <w:num w:numId="6" w16cid:durableId="1367102212">
    <w:abstractNumId w:val="12"/>
  </w:num>
  <w:num w:numId="7" w16cid:durableId="934440927">
    <w:abstractNumId w:val="8"/>
  </w:num>
  <w:num w:numId="8" w16cid:durableId="336883860">
    <w:abstractNumId w:val="22"/>
  </w:num>
  <w:num w:numId="9" w16cid:durableId="1545174645">
    <w:abstractNumId w:val="18"/>
  </w:num>
  <w:num w:numId="10" w16cid:durableId="427583835">
    <w:abstractNumId w:val="1"/>
  </w:num>
  <w:num w:numId="11" w16cid:durableId="575089591">
    <w:abstractNumId w:val="9"/>
  </w:num>
  <w:num w:numId="12" w16cid:durableId="760874408">
    <w:abstractNumId w:val="1"/>
  </w:num>
  <w:num w:numId="13" w16cid:durableId="586118437">
    <w:abstractNumId w:val="25"/>
  </w:num>
  <w:num w:numId="14" w16cid:durableId="1677881783">
    <w:abstractNumId w:val="11"/>
  </w:num>
  <w:num w:numId="15" w16cid:durableId="82919509">
    <w:abstractNumId w:val="3"/>
  </w:num>
  <w:num w:numId="16" w16cid:durableId="806164298">
    <w:abstractNumId w:val="21"/>
  </w:num>
  <w:num w:numId="17" w16cid:durableId="638993944">
    <w:abstractNumId w:val="26"/>
  </w:num>
  <w:num w:numId="18" w16cid:durableId="84961421">
    <w:abstractNumId w:val="14"/>
  </w:num>
  <w:num w:numId="19" w16cid:durableId="641273338">
    <w:abstractNumId w:val="19"/>
  </w:num>
  <w:num w:numId="20" w16cid:durableId="1049647017">
    <w:abstractNumId w:val="5"/>
  </w:num>
  <w:num w:numId="21" w16cid:durableId="881484280">
    <w:abstractNumId w:val="17"/>
  </w:num>
  <w:num w:numId="22" w16cid:durableId="1808085064">
    <w:abstractNumId w:val="20"/>
  </w:num>
  <w:num w:numId="23" w16cid:durableId="1584290195">
    <w:abstractNumId w:val="2"/>
  </w:num>
  <w:num w:numId="24" w16cid:durableId="1872298006">
    <w:abstractNumId w:val="23"/>
  </w:num>
  <w:num w:numId="25" w16cid:durableId="1286035335">
    <w:abstractNumId w:val="28"/>
  </w:num>
  <w:num w:numId="26" w16cid:durableId="1811550759">
    <w:abstractNumId w:val="4"/>
  </w:num>
  <w:num w:numId="27" w16cid:durableId="1610577623">
    <w:abstractNumId w:val="6"/>
  </w:num>
  <w:num w:numId="28" w16cid:durableId="820007245">
    <w:abstractNumId w:val="13"/>
  </w:num>
  <w:num w:numId="29" w16cid:durableId="2144275123">
    <w:abstractNumId w:val="10"/>
  </w:num>
  <w:num w:numId="30" w16cid:durableId="6152570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27D16"/>
    <w:rsid w:val="0003018E"/>
    <w:rsid w:val="00030C4C"/>
    <w:rsid w:val="00033BC3"/>
    <w:rsid w:val="00044E09"/>
    <w:rsid w:val="000455E3"/>
    <w:rsid w:val="0004784D"/>
    <w:rsid w:val="000535A3"/>
    <w:rsid w:val="00053A00"/>
    <w:rsid w:val="00053DC5"/>
    <w:rsid w:val="000551F5"/>
    <w:rsid w:val="000769DF"/>
    <w:rsid w:val="000A57BC"/>
    <w:rsid w:val="000B1C9D"/>
    <w:rsid w:val="000B6C00"/>
    <w:rsid w:val="000C1F06"/>
    <w:rsid w:val="000F1DD1"/>
    <w:rsid w:val="000F28B8"/>
    <w:rsid w:val="000F3766"/>
    <w:rsid w:val="00100880"/>
    <w:rsid w:val="00106FC4"/>
    <w:rsid w:val="00111F0C"/>
    <w:rsid w:val="00120B80"/>
    <w:rsid w:val="00125233"/>
    <w:rsid w:val="00131E83"/>
    <w:rsid w:val="001449AF"/>
    <w:rsid w:val="00145E2D"/>
    <w:rsid w:val="0016612C"/>
    <w:rsid w:val="00171814"/>
    <w:rsid w:val="001763D4"/>
    <w:rsid w:val="00181433"/>
    <w:rsid w:val="001834DD"/>
    <w:rsid w:val="00191BCF"/>
    <w:rsid w:val="00195C00"/>
    <w:rsid w:val="00197308"/>
    <w:rsid w:val="001C17BE"/>
    <w:rsid w:val="001C53CE"/>
    <w:rsid w:val="001C5D96"/>
    <w:rsid w:val="001D341B"/>
    <w:rsid w:val="001E3D2B"/>
    <w:rsid w:val="001E45B5"/>
    <w:rsid w:val="001E5415"/>
    <w:rsid w:val="001E66CE"/>
    <w:rsid w:val="001F6BE5"/>
    <w:rsid w:val="00221DC2"/>
    <w:rsid w:val="002277D8"/>
    <w:rsid w:val="00230D18"/>
    <w:rsid w:val="00243004"/>
    <w:rsid w:val="00244B48"/>
    <w:rsid w:val="00256CDA"/>
    <w:rsid w:val="002573D5"/>
    <w:rsid w:val="002600F2"/>
    <w:rsid w:val="00264E26"/>
    <w:rsid w:val="00280E74"/>
    <w:rsid w:val="00284E4B"/>
    <w:rsid w:val="00291340"/>
    <w:rsid w:val="002A41E1"/>
    <w:rsid w:val="002B6345"/>
    <w:rsid w:val="002B6574"/>
    <w:rsid w:val="002D190B"/>
    <w:rsid w:val="002D3419"/>
    <w:rsid w:val="002D4D48"/>
    <w:rsid w:val="002E0AA1"/>
    <w:rsid w:val="002E13C1"/>
    <w:rsid w:val="002E1CCC"/>
    <w:rsid w:val="002E21D2"/>
    <w:rsid w:val="002F7D3C"/>
    <w:rsid w:val="00302D5E"/>
    <w:rsid w:val="00305720"/>
    <w:rsid w:val="0031098A"/>
    <w:rsid w:val="003131AB"/>
    <w:rsid w:val="003217BE"/>
    <w:rsid w:val="0032204D"/>
    <w:rsid w:val="00324C5E"/>
    <w:rsid w:val="0033413C"/>
    <w:rsid w:val="0034044F"/>
    <w:rsid w:val="00352EE6"/>
    <w:rsid w:val="00355FF2"/>
    <w:rsid w:val="0035639D"/>
    <w:rsid w:val="00365698"/>
    <w:rsid w:val="003659D2"/>
    <w:rsid w:val="00365EF1"/>
    <w:rsid w:val="00366D88"/>
    <w:rsid w:val="00376001"/>
    <w:rsid w:val="00380DB6"/>
    <w:rsid w:val="00390A61"/>
    <w:rsid w:val="003A17CA"/>
    <w:rsid w:val="003B0120"/>
    <w:rsid w:val="003B412F"/>
    <w:rsid w:val="003B5410"/>
    <w:rsid w:val="003D0647"/>
    <w:rsid w:val="003D1265"/>
    <w:rsid w:val="003D255E"/>
    <w:rsid w:val="003D3B1D"/>
    <w:rsid w:val="003D4B2C"/>
    <w:rsid w:val="003D5DBE"/>
    <w:rsid w:val="003E01D1"/>
    <w:rsid w:val="00404841"/>
    <w:rsid w:val="00410238"/>
    <w:rsid w:val="00412059"/>
    <w:rsid w:val="00422E02"/>
    <w:rsid w:val="00425633"/>
    <w:rsid w:val="00426BFE"/>
    <w:rsid w:val="004365BC"/>
    <w:rsid w:val="00441E79"/>
    <w:rsid w:val="00444032"/>
    <w:rsid w:val="00445E28"/>
    <w:rsid w:val="0044643A"/>
    <w:rsid w:val="00450486"/>
    <w:rsid w:val="00454EB4"/>
    <w:rsid w:val="00461BE1"/>
    <w:rsid w:val="00462558"/>
    <w:rsid w:val="00464243"/>
    <w:rsid w:val="00466020"/>
    <w:rsid w:val="004709E9"/>
    <w:rsid w:val="00472379"/>
    <w:rsid w:val="00482CA1"/>
    <w:rsid w:val="00483A58"/>
    <w:rsid w:val="00490618"/>
    <w:rsid w:val="004A7A42"/>
    <w:rsid w:val="004B203A"/>
    <w:rsid w:val="004B5F40"/>
    <w:rsid w:val="004C7D16"/>
    <w:rsid w:val="004D0860"/>
    <w:rsid w:val="004D700E"/>
    <w:rsid w:val="004D7F17"/>
    <w:rsid w:val="004E0670"/>
    <w:rsid w:val="004E7F37"/>
    <w:rsid w:val="004F203C"/>
    <w:rsid w:val="004F31BA"/>
    <w:rsid w:val="004F32AB"/>
    <w:rsid w:val="005037D7"/>
    <w:rsid w:val="005118E4"/>
    <w:rsid w:val="0051299F"/>
    <w:rsid w:val="0052075D"/>
    <w:rsid w:val="00521968"/>
    <w:rsid w:val="00526B85"/>
    <w:rsid w:val="005306A1"/>
    <w:rsid w:val="00544751"/>
    <w:rsid w:val="00553A84"/>
    <w:rsid w:val="00563F88"/>
    <w:rsid w:val="00571547"/>
    <w:rsid w:val="00571E8B"/>
    <w:rsid w:val="0059000C"/>
    <w:rsid w:val="005948DB"/>
    <w:rsid w:val="005A02A1"/>
    <w:rsid w:val="005A3264"/>
    <w:rsid w:val="005B1528"/>
    <w:rsid w:val="005B4F6E"/>
    <w:rsid w:val="005B6071"/>
    <w:rsid w:val="005C120F"/>
    <w:rsid w:val="005D5DFD"/>
    <w:rsid w:val="005D7A24"/>
    <w:rsid w:val="005E0B8D"/>
    <w:rsid w:val="005E1395"/>
    <w:rsid w:val="005E19A4"/>
    <w:rsid w:val="005E3206"/>
    <w:rsid w:val="00607026"/>
    <w:rsid w:val="00616EBA"/>
    <w:rsid w:val="00620574"/>
    <w:rsid w:val="00621DF0"/>
    <w:rsid w:val="00622B47"/>
    <w:rsid w:val="00632C08"/>
    <w:rsid w:val="00654C42"/>
    <w:rsid w:val="006572E9"/>
    <w:rsid w:val="0067074A"/>
    <w:rsid w:val="00672994"/>
    <w:rsid w:val="006807C9"/>
    <w:rsid w:val="006867F6"/>
    <w:rsid w:val="00692EFD"/>
    <w:rsid w:val="00693B43"/>
    <w:rsid w:val="00694FDB"/>
    <w:rsid w:val="006C15C5"/>
    <w:rsid w:val="006D3DAD"/>
    <w:rsid w:val="006D4A4B"/>
    <w:rsid w:val="006E1C6A"/>
    <w:rsid w:val="006E476C"/>
    <w:rsid w:val="006F6096"/>
    <w:rsid w:val="006F7B19"/>
    <w:rsid w:val="0070036D"/>
    <w:rsid w:val="00707E21"/>
    <w:rsid w:val="00716D7B"/>
    <w:rsid w:val="00721BED"/>
    <w:rsid w:val="0072558A"/>
    <w:rsid w:val="00726042"/>
    <w:rsid w:val="00733E08"/>
    <w:rsid w:val="00736A76"/>
    <w:rsid w:val="007405CC"/>
    <w:rsid w:val="007442F1"/>
    <w:rsid w:val="00752C6B"/>
    <w:rsid w:val="00753B33"/>
    <w:rsid w:val="00760CE6"/>
    <w:rsid w:val="00760EED"/>
    <w:rsid w:val="00762F09"/>
    <w:rsid w:val="00766469"/>
    <w:rsid w:val="007719C9"/>
    <w:rsid w:val="00772718"/>
    <w:rsid w:val="00792EA7"/>
    <w:rsid w:val="007A3384"/>
    <w:rsid w:val="007A59BF"/>
    <w:rsid w:val="007D30A8"/>
    <w:rsid w:val="007D4969"/>
    <w:rsid w:val="007E038A"/>
    <w:rsid w:val="007E24C8"/>
    <w:rsid w:val="007E3FBE"/>
    <w:rsid w:val="007F00B8"/>
    <w:rsid w:val="007F6391"/>
    <w:rsid w:val="008006B6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520DF"/>
    <w:rsid w:val="00854ACD"/>
    <w:rsid w:val="0087438E"/>
    <w:rsid w:val="00884668"/>
    <w:rsid w:val="00895EB9"/>
    <w:rsid w:val="008B2B46"/>
    <w:rsid w:val="008B3C6E"/>
    <w:rsid w:val="008D0626"/>
    <w:rsid w:val="008D31D1"/>
    <w:rsid w:val="008E05BC"/>
    <w:rsid w:val="008E05FE"/>
    <w:rsid w:val="008E4CDD"/>
    <w:rsid w:val="008F17B8"/>
    <w:rsid w:val="008F1E00"/>
    <w:rsid w:val="008F3CCF"/>
    <w:rsid w:val="00901750"/>
    <w:rsid w:val="00901A61"/>
    <w:rsid w:val="00903A60"/>
    <w:rsid w:val="00916DD3"/>
    <w:rsid w:val="00921840"/>
    <w:rsid w:val="00925122"/>
    <w:rsid w:val="00932C87"/>
    <w:rsid w:val="009331B4"/>
    <w:rsid w:val="009345F1"/>
    <w:rsid w:val="009437EE"/>
    <w:rsid w:val="00944BBB"/>
    <w:rsid w:val="00945DF5"/>
    <w:rsid w:val="0095141C"/>
    <w:rsid w:val="009547B6"/>
    <w:rsid w:val="00961072"/>
    <w:rsid w:val="0096623C"/>
    <w:rsid w:val="00972D25"/>
    <w:rsid w:val="00980BE5"/>
    <w:rsid w:val="00980F43"/>
    <w:rsid w:val="009A2F51"/>
    <w:rsid w:val="009A34F3"/>
    <w:rsid w:val="009B6C1C"/>
    <w:rsid w:val="009C0F01"/>
    <w:rsid w:val="009C37F3"/>
    <w:rsid w:val="009C6C53"/>
    <w:rsid w:val="009D74FB"/>
    <w:rsid w:val="009E1A74"/>
    <w:rsid w:val="009E6B53"/>
    <w:rsid w:val="009E750F"/>
    <w:rsid w:val="009F4968"/>
    <w:rsid w:val="00A04D96"/>
    <w:rsid w:val="00A0629B"/>
    <w:rsid w:val="00A14495"/>
    <w:rsid w:val="00A16BE1"/>
    <w:rsid w:val="00A2214F"/>
    <w:rsid w:val="00A232AB"/>
    <w:rsid w:val="00A24F65"/>
    <w:rsid w:val="00A453D7"/>
    <w:rsid w:val="00A454BF"/>
    <w:rsid w:val="00A513A6"/>
    <w:rsid w:val="00A52E3A"/>
    <w:rsid w:val="00A61A1A"/>
    <w:rsid w:val="00A72242"/>
    <w:rsid w:val="00A814CB"/>
    <w:rsid w:val="00A83D64"/>
    <w:rsid w:val="00A86258"/>
    <w:rsid w:val="00A90D1B"/>
    <w:rsid w:val="00A95030"/>
    <w:rsid w:val="00AC144D"/>
    <w:rsid w:val="00AD70E2"/>
    <w:rsid w:val="00AF55F8"/>
    <w:rsid w:val="00B00037"/>
    <w:rsid w:val="00B10ABA"/>
    <w:rsid w:val="00B303E4"/>
    <w:rsid w:val="00B32634"/>
    <w:rsid w:val="00B420D4"/>
    <w:rsid w:val="00B43CFE"/>
    <w:rsid w:val="00B57910"/>
    <w:rsid w:val="00B61335"/>
    <w:rsid w:val="00B91B21"/>
    <w:rsid w:val="00B952F6"/>
    <w:rsid w:val="00BA202A"/>
    <w:rsid w:val="00BB3651"/>
    <w:rsid w:val="00BB699D"/>
    <w:rsid w:val="00BC093A"/>
    <w:rsid w:val="00BC2B00"/>
    <w:rsid w:val="00BC4ACC"/>
    <w:rsid w:val="00BC4FCC"/>
    <w:rsid w:val="00BD02F8"/>
    <w:rsid w:val="00BF6125"/>
    <w:rsid w:val="00C04432"/>
    <w:rsid w:val="00C06ED8"/>
    <w:rsid w:val="00C1488E"/>
    <w:rsid w:val="00C217A8"/>
    <w:rsid w:val="00C25C42"/>
    <w:rsid w:val="00C314F0"/>
    <w:rsid w:val="00C31B1C"/>
    <w:rsid w:val="00C32A2F"/>
    <w:rsid w:val="00C3786E"/>
    <w:rsid w:val="00C4188F"/>
    <w:rsid w:val="00C435BE"/>
    <w:rsid w:val="00C60189"/>
    <w:rsid w:val="00C76668"/>
    <w:rsid w:val="00C80477"/>
    <w:rsid w:val="00C819A4"/>
    <w:rsid w:val="00C824AE"/>
    <w:rsid w:val="00C82EE3"/>
    <w:rsid w:val="00C84EA8"/>
    <w:rsid w:val="00C92998"/>
    <w:rsid w:val="00C95B28"/>
    <w:rsid w:val="00CA444B"/>
    <w:rsid w:val="00CA720A"/>
    <w:rsid w:val="00CD0003"/>
    <w:rsid w:val="00CD5925"/>
    <w:rsid w:val="00CE0775"/>
    <w:rsid w:val="00CE557A"/>
    <w:rsid w:val="00CF00AD"/>
    <w:rsid w:val="00D031B2"/>
    <w:rsid w:val="00D04FB5"/>
    <w:rsid w:val="00D05A86"/>
    <w:rsid w:val="00D05B2E"/>
    <w:rsid w:val="00D06EAD"/>
    <w:rsid w:val="00D1410C"/>
    <w:rsid w:val="00D3434A"/>
    <w:rsid w:val="00D40727"/>
    <w:rsid w:val="00D40D16"/>
    <w:rsid w:val="00D433F8"/>
    <w:rsid w:val="00D456E7"/>
    <w:rsid w:val="00D548F0"/>
    <w:rsid w:val="00D57F79"/>
    <w:rsid w:val="00D64716"/>
    <w:rsid w:val="00D64FAC"/>
    <w:rsid w:val="00D65704"/>
    <w:rsid w:val="00D668F6"/>
    <w:rsid w:val="00D741F9"/>
    <w:rsid w:val="00D752EC"/>
    <w:rsid w:val="00D84875"/>
    <w:rsid w:val="00D854FD"/>
    <w:rsid w:val="00D904F0"/>
    <w:rsid w:val="00D91378"/>
    <w:rsid w:val="00D91B18"/>
    <w:rsid w:val="00D930FB"/>
    <w:rsid w:val="00D95D89"/>
    <w:rsid w:val="00DA4DB7"/>
    <w:rsid w:val="00DA7230"/>
    <w:rsid w:val="00DC0747"/>
    <w:rsid w:val="00DC2647"/>
    <w:rsid w:val="00DC316D"/>
    <w:rsid w:val="00DD1408"/>
    <w:rsid w:val="00DD356D"/>
    <w:rsid w:val="00DD6735"/>
    <w:rsid w:val="00DD6F78"/>
    <w:rsid w:val="00DD72DE"/>
    <w:rsid w:val="00DF136A"/>
    <w:rsid w:val="00DF51FA"/>
    <w:rsid w:val="00DF5AE5"/>
    <w:rsid w:val="00E0254D"/>
    <w:rsid w:val="00E0448C"/>
    <w:rsid w:val="00E13525"/>
    <w:rsid w:val="00E40BD1"/>
    <w:rsid w:val="00E43170"/>
    <w:rsid w:val="00E45C06"/>
    <w:rsid w:val="00E463CF"/>
    <w:rsid w:val="00E47250"/>
    <w:rsid w:val="00E47ADA"/>
    <w:rsid w:val="00E561E5"/>
    <w:rsid w:val="00E61535"/>
    <w:rsid w:val="00E73F55"/>
    <w:rsid w:val="00E74266"/>
    <w:rsid w:val="00E7480B"/>
    <w:rsid w:val="00E8246B"/>
    <w:rsid w:val="00E84012"/>
    <w:rsid w:val="00E86AD5"/>
    <w:rsid w:val="00E9373C"/>
    <w:rsid w:val="00E9388B"/>
    <w:rsid w:val="00E947F8"/>
    <w:rsid w:val="00EA0724"/>
    <w:rsid w:val="00EA6251"/>
    <w:rsid w:val="00EB2B52"/>
    <w:rsid w:val="00EB3249"/>
    <w:rsid w:val="00EB6414"/>
    <w:rsid w:val="00ED2669"/>
    <w:rsid w:val="00ED5759"/>
    <w:rsid w:val="00EE3BA6"/>
    <w:rsid w:val="00EE432F"/>
    <w:rsid w:val="00EE5747"/>
    <w:rsid w:val="00EF3804"/>
    <w:rsid w:val="00EF5E05"/>
    <w:rsid w:val="00F073CA"/>
    <w:rsid w:val="00F145C1"/>
    <w:rsid w:val="00F227AF"/>
    <w:rsid w:val="00F263A3"/>
    <w:rsid w:val="00F266F2"/>
    <w:rsid w:val="00F27370"/>
    <w:rsid w:val="00F377B9"/>
    <w:rsid w:val="00F40B00"/>
    <w:rsid w:val="00F41AAB"/>
    <w:rsid w:val="00F5341C"/>
    <w:rsid w:val="00F56954"/>
    <w:rsid w:val="00F60E81"/>
    <w:rsid w:val="00F736E4"/>
    <w:rsid w:val="00F76062"/>
    <w:rsid w:val="00F85F98"/>
    <w:rsid w:val="00F948AF"/>
    <w:rsid w:val="00F956F0"/>
    <w:rsid w:val="00F97CE7"/>
    <w:rsid w:val="00FA1F45"/>
    <w:rsid w:val="00FA5A7B"/>
    <w:rsid w:val="00FB11B1"/>
    <w:rsid w:val="00FC1C2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204D"/>
    <w:rPr>
      <w:color w:val="800080" w:themeColor="followedHyperlink"/>
      <w:u w:val="single"/>
    </w:rPr>
  </w:style>
  <w:style w:type="paragraph" w:customStyle="1" w:styleId="Bullet1">
    <w:name w:val="Bullet 1"/>
    <w:basedOn w:val="Normal"/>
    <w:qFormat/>
    <w:rsid w:val="008E4CDD"/>
    <w:pPr>
      <w:numPr>
        <w:numId w:val="17"/>
      </w:numPr>
      <w:suppressAutoHyphens/>
      <w:spacing w:before="120" w:after="60"/>
    </w:pPr>
    <w:rPr>
      <w:rFonts w:cstheme="minorBidi"/>
      <w:color w:val="auto"/>
      <w:szCs w:val="22"/>
    </w:rPr>
  </w:style>
  <w:style w:type="paragraph" w:customStyle="1" w:styleId="Bullet2">
    <w:name w:val="Bullet 2"/>
    <w:basedOn w:val="Bullet1"/>
    <w:qFormat/>
    <w:rsid w:val="008E4CDD"/>
    <w:pPr>
      <w:numPr>
        <w:ilvl w:val="1"/>
      </w:numPr>
    </w:pPr>
  </w:style>
  <w:style w:type="paragraph" w:customStyle="1" w:styleId="Bullet3">
    <w:name w:val="Bullet 3"/>
    <w:basedOn w:val="Bullet2"/>
    <w:qFormat/>
    <w:rsid w:val="008E4CDD"/>
    <w:pPr>
      <w:numPr>
        <w:ilvl w:val="2"/>
      </w:numPr>
    </w:pPr>
  </w:style>
  <w:style w:type="numbering" w:customStyle="1" w:styleId="BulletsList">
    <w:name w:val="Bullets List"/>
    <w:uiPriority w:val="99"/>
    <w:rsid w:val="008E4CDD"/>
    <w:pPr>
      <w:numPr>
        <w:numId w:val="17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E45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@communitygrants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nts.gov.a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16CBC-C063-4C8B-BDAD-DE2784CB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130</TotalTime>
  <Pages>3</Pages>
  <Words>858</Words>
  <Characters>5047</Characters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&lt;Grant Opportunity Name&gt;</vt:lpstr>
    </vt:vector>
  </TitlesOfParts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2023-24 - Volunteer Grants - General Feedback</dc:title>
  <dc:subject/>
  <cp:lastPrinted>2021-05-11T22:32:00Z</cp:lastPrinted>
  <dcterms:created xsi:type="dcterms:W3CDTF">2024-04-17T04:30:00Z</dcterms:created>
  <dcterms:modified xsi:type="dcterms:W3CDTF">2024-04-18T04:08:00Z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2024-01-23T20:30:41Z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5E15289B7490519264DF3E782E62C52B</vt:lpwstr>
  </property>
  <property fmtid="{D5CDD505-2E9C-101B-9397-08002B2CF9AE}" pid="20" name="PM_Hash_Salt">
    <vt:lpwstr>87BAD121E0FCBB225EADE8663EE75F35</vt:lpwstr>
  </property>
  <property fmtid="{D5CDD505-2E9C-101B-9397-08002B2CF9AE}" pid="21" name="PM_Hash_SHA1">
    <vt:lpwstr>34D2A2BA641C418A950D8CA030601220C356C75C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HMAC">
    <vt:lpwstr>v=2022.1;a=SHA256;h=CCF20010E890D079BFE17B971AF5BAEE00394A0C57D42EAE178A268C68288C7C</vt:lpwstr>
  </property>
  <property fmtid="{D5CDD505-2E9C-101B-9397-08002B2CF9AE}" pid="28" name="MSIP_Label_eb34d90b-fc41-464d-af60-f74d721d0790_SetDate">
    <vt:lpwstr>2024-01-23T20:30:41Z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a8ac81e9e0e548a0b713933d4a44a00e</vt:lpwstr>
  </property>
  <property fmtid="{D5CDD505-2E9C-101B-9397-08002B2CF9AE}" pid="35" name="PMUuid">
    <vt:lpwstr>v=2022.2;d=gov.au;g=46DD6D7C-8107-577B-BC6E-F348953B2E44</vt:lpwstr>
  </property>
</Properties>
</file>