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41F93" w14:textId="77777777" w:rsidR="007568B1" w:rsidRDefault="007568B1" w:rsidP="007877B3">
      <w:pPr>
        <w:pStyle w:val="Heading1"/>
        <w:spacing w:before="0" w:after="0"/>
        <w:jc w:val="right"/>
      </w:pPr>
    </w:p>
    <w:p w14:paraId="29BF5D92" w14:textId="6AA1B657" w:rsidR="007568B1" w:rsidRDefault="007877B3" w:rsidP="007877B3">
      <w:pPr>
        <w:pStyle w:val="Heading1"/>
        <w:spacing w:before="0" w:after="0"/>
        <w:jc w:val="right"/>
      </w:pPr>
      <w:r>
        <w:br/>
      </w:r>
      <w:r>
        <w:br/>
      </w:r>
      <w:r>
        <w:br/>
      </w:r>
      <w:r w:rsidR="007568B1" w:rsidRPr="00ED55C0">
        <w:t>Settlement Engagement and Transition Support (SETS) – Client Services</w:t>
      </w:r>
      <w:r>
        <w:t xml:space="preserve"> </w:t>
      </w:r>
      <w:r>
        <w:br/>
      </w:r>
      <w:r w:rsidR="007568B1">
        <w:t>Grant</w:t>
      </w:r>
      <w:r>
        <w:t xml:space="preserve"> Opportunity </w:t>
      </w:r>
      <w:r w:rsidR="007568B1" w:rsidRPr="00ED55C0">
        <w:t>Guidelines</w:t>
      </w:r>
    </w:p>
    <w:p w14:paraId="2D75616A" w14:textId="77777777" w:rsidR="007568B1" w:rsidRPr="006B329D" w:rsidRDefault="007568B1" w:rsidP="007568B1"/>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06"/>
        <w:gridCol w:w="5983"/>
      </w:tblGrid>
      <w:tr w:rsidR="007568B1" w:rsidRPr="007040EB" w14:paraId="59D379B9" w14:textId="77777777" w:rsidTr="000E7A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6" w:type="dxa"/>
          </w:tcPr>
          <w:p w14:paraId="0B26DBE7" w14:textId="77777777" w:rsidR="007568B1" w:rsidRPr="0004098F" w:rsidRDefault="007568B1" w:rsidP="007877B3">
            <w:pPr>
              <w:rPr>
                <w:color w:val="264F90"/>
              </w:rPr>
            </w:pPr>
            <w:r w:rsidRPr="0004098F">
              <w:rPr>
                <w:color w:val="264F90"/>
              </w:rPr>
              <w:t>Opening date:</w:t>
            </w:r>
          </w:p>
        </w:tc>
        <w:tc>
          <w:tcPr>
            <w:tcW w:w="5983" w:type="dxa"/>
          </w:tcPr>
          <w:p w14:paraId="6CCEEFD4" w14:textId="77777777" w:rsidR="007568B1" w:rsidRPr="002C4DC5" w:rsidRDefault="007568B1" w:rsidP="007877B3">
            <w:pPr>
              <w:cnfStyle w:val="100000000000" w:firstRow="1" w:lastRow="0" w:firstColumn="0" w:lastColumn="0" w:oddVBand="0" w:evenVBand="0" w:oddHBand="0" w:evenHBand="0" w:firstRowFirstColumn="0" w:firstRowLastColumn="0" w:lastRowFirstColumn="0" w:lastRowLastColumn="0"/>
              <w:rPr>
                <w:b w:val="0"/>
              </w:rPr>
            </w:pPr>
            <w:r w:rsidRPr="002C4DC5">
              <w:rPr>
                <w:b w:val="0"/>
              </w:rPr>
              <w:t>29 March 2019</w:t>
            </w:r>
          </w:p>
        </w:tc>
      </w:tr>
      <w:tr w:rsidR="007568B1" w:rsidRPr="007040EB" w14:paraId="3E0F722B" w14:textId="77777777" w:rsidTr="0078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20F182A7" w14:textId="77777777" w:rsidR="007568B1" w:rsidRPr="0004098F" w:rsidRDefault="007568B1" w:rsidP="007877B3">
            <w:pPr>
              <w:rPr>
                <w:color w:val="264F90"/>
              </w:rPr>
            </w:pPr>
            <w:r w:rsidRPr="0004098F">
              <w:rPr>
                <w:color w:val="264F90"/>
              </w:rPr>
              <w:t>Closing date and time:</w:t>
            </w:r>
          </w:p>
        </w:tc>
        <w:tc>
          <w:tcPr>
            <w:tcW w:w="5983" w:type="dxa"/>
            <w:shd w:val="clear" w:color="auto" w:fill="auto"/>
          </w:tcPr>
          <w:p w14:paraId="6C2E0F57" w14:textId="77777777" w:rsidR="007568B1" w:rsidRPr="002C4DC5" w:rsidRDefault="007568B1" w:rsidP="007877B3">
            <w:pPr>
              <w:cnfStyle w:val="000000100000" w:firstRow="0" w:lastRow="0" w:firstColumn="0" w:lastColumn="0" w:oddVBand="0" w:evenVBand="0" w:oddHBand="1" w:evenHBand="0" w:firstRowFirstColumn="0" w:firstRowLastColumn="0" w:lastRowFirstColumn="0" w:lastRowLastColumn="0"/>
            </w:pPr>
            <w:r w:rsidRPr="002C4DC5">
              <w:t>11:00pm AEST on 18 April 2019</w:t>
            </w:r>
          </w:p>
        </w:tc>
      </w:tr>
      <w:tr w:rsidR="007568B1" w:rsidRPr="007040EB" w14:paraId="528B50BD" w14:textId="77777777" w:rsidTr="007877B3">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719BB54F" w14:textId="77777777" w:rsidR="007568B1" w:rsidRPr="0004098F" w:rsidRDefault="007568B1" w:rsidP="007877B3">
            <w:pPr>
              <w:rPr>
                <w:color w:val="264F90"/>
              </w:rPr>
            </w:pPr>
            <w:r w:rsidRPr="0004098F">
              <w:rPr>
                <w:color w:val="264F90"/>
              </w:rPr>
              <w:t>Commonwealth policy entity:</w:t>
            </w:r>
          </w:p>
        </w:tc>
        <w:tc>
          <w:tcPr>
            <w:tcW w:w="5983" w:type="dxa"/>
            <w:shd w:val="clear" w:color="auto" w:fill="auto"/>
          </w:tcPr>
          <w:p w14:paraId="7D8781CB" w14:textId="77777777" w:rsidR="007568B1" w:rsidRPr="00F65C53" w:rsidRDefault="007568B1" w:rsidP="007877B3">
            <w:pPr>
              <w:cnfStyle w:val="000000000000" w:firstRow="0" w:lastRow="0" w:firstColumn="0" w:lastColumn="0" w:oddVBand="0" w:evenVBand="0" w:oddHBand="0" w:evenHBand="0" w:firstRowFirstColumn="0" w:firstRowLastColumn="0" w:lastRowFirstColumn="0" w:lastRowLastColumn="0"/>
            </w:pPr>
            <w:r>
              <w:t>Department of Social Services</w:t>
            </w:r>
          </w:p>
        </w:tc>
      </w:tr>
      <w:tr w:rsidR="007568B1" w:rsidRPr="007040EB" w14:paraId="0D737F54" w14:textId="77777777" w:rsidTr="0078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45A55693" w14:textId="77777777" w:rsidR="007568B1" w:rsidRPr="0004098F" w:rsidRDefault="007568B1" w:rsidP="007877B3">
            <w:pPr>
              <w:rPr>
                <w:color w:val="264F90"/>
              </w:rPr>
            </w:pPr>
            <w:r>
              <w:rPr>
                <w:color w:val="264F90"/>
              </w:rPr>
              <w:t>Administering e</w:t>
            </w:r>
            <w:r w:rsidRPr="0004098F">
              <w:rPr>
                <w:color w:val="264F90"/>
              </w:rPr>
              <w:t>ntit</w:t>
            </w:r>
            <w:r>
              <w:rPr>
                <w:color w:val="264F90"/>
              </w:rPr>
              <w:t>y</w:t>
            </w:r>
          </w:p>
        </w:tc>
        <w:tc>
          <w:tcPr>
            <w:tcW w:w="5983" w:type="dxa"/>
            <w:shd w:val="clear" w:color="auto" w:fill="auto"/>
          </w:tcPr>
          <w:p w14:paraId="72F71F2A" w14:textId="77777777" w:rsidR="007568B1" w:rsidRDefault="007568B1" w:rsidP="007877B3">
            <w:pPr>
              <w:cnfStyle w:val="000000100000" w:firstRow="0" w:lastRow="0" w:firstColumn="0" w:lastColumn="0" w:oddVBand="0" w:evenVBand="0" w:oddHBand="1" w:evenHBand="0" w:firstRowFirstColumn="0" w:firstRowLastColumn="0" w:lastRowFirstColumn="0" w:lastRowLastColumn="0"/>
            </w:pPr>
            <w:r>
              <w:t>Community Grants Hub</w:t>
            </w:r>
          </w:p>
        </w:tc>
      </w:tr>
      <w:tr w:rsidR="007568B1" w:rsidRPr="007040EB" w14:paraId="7F1A74A4" w14:textId="77777777" w:rsidTr="007877B3">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22E870BD" w14:textId="77777777" w:rsidR="007568B1" w:rsidRPr="0004098F" w:rsidRDefault="007568B1" w:rsidP="007877B3">
            <w:pPr>
              <w:rPr>
                <w:color w:val="264F90"/>
              </w:rPr>
            </w:pPr>
            <w:r w:rsidRPr="0004098F">
              <w:rPr>
                <w:color w:val="264F90"/>
              </w:rPr>
              <w:t>Enquiries:</w:t>
            </w:r>
          </w:p>
        </w:tc>
        <w:tc>
          <w:tcPr>
            <w:tcW w:w="5983" w:type="dxa"/>
            <w:shd w:val="clear" w:color="auto" w:fill="auto"/>
          </w:tcPr>
          <w:p w14:paraId="4A39D77B" w14:textId="77777777" w:rsidR="007568B1" w:rsidRDefault="007568B1" w:rsidP="007877B3">
            <w:pPr>
              <w:cnfStyle w:val="000000000000" w:firstRow="0" w:lastRow="0" w:firstColumn="0" w:lastColumn="0" w:oddVBand="0" w:evenVBand="0" w:oddHBand="0" w:evenHBand="0" w:firstRowFirstColumn="0" w:firstRowLastColumn="0" w:lastRowFirstColumn="0" w:lastRowLastColumn="0"/>
            </w:pPr>
            <w:r w:rsidRPr="00F65C53">
              <w:t xml:space="preserve">If you have any questions, contact </w:t>
            </w:r>
          </w:p>
          <w:p w14:paraId="280C54D7" w14:textId="77777777" w:rsidR="007568B1" w:rsidRDefault="007568B1" w:rsidP="007877B3">
            <w:pPr>
              <w:cnfStyle w:val="000000000000" w:firstRow="0" w:lastRow="0" w:firstColumn="0" w:lastColumn="0" w:oddVBand="0" w:evenVBand="0" w:oddHBand="0" w:evenHBand="0" w:firstRowFirstColumn="0" w:firstRowLastColumn="0" w:lastRowFirstColumn="0" w:lastRowLastColumn="0"/>
            </w:pPr>
            <w:r>
              <w:t>Community Grants Hub</w:t>
            </w:r>
          </w:p>
          <w:p w14:paraId="7C1F76B2" w14:textId="77777777" w:rsidR="007568B1" w:rsidRDefault="007568B1" w:rsidP="007877B3">
            <w:pPr>
              <w:cnfStyle w:val="000000000000" w:firstRow="0" w:lastRow="0" w:firstColumn="0" w:lastColumn="0" w:oddVBand="0" w:evenVBand="0" w:oddHBand="0" w:evenHBand="0" w:firstRowFirstColumn="0" w:firstRowLastColumn="0" w:lastRowFirstColumn="0" w:lastRowLastColumn="0"/>
            </w:pPr>
            <w:r>
              <w:t>Phone: 1800 020 283</w:t>
            </w:r>
          </w:p>
          <w:p w14:paraId="5E198C83" w14:textId="77777777" w:rsidR="007568B1" w:rsidRPr="00F65C53" w:rsidRDefault="007568B1" w:rsidP="007877B3">
            <w:pPr>
              <w:cnfStyle w:val="000000000000" w:firstRow="0" w:lastRow="0" w:firstColumn="0" w:lastColumn="0" w:oddVBand="0" w:evenVBand="0" w:oddHBand="0" w:evenHBand="0" w:firstRowFirstColumn="0" w:firstRowLastColumn="0" w:lastRowFirstColumn="0" w:lastRowLastColumn="0"/>
            </w:pPr>
            <w:r>
              <w:t xml:space="preserve">Email: </w:t>
            </w:r>
            <w:hyperlink r:id="rId13" w:history="1">
              <w:r w:rsidRPr="00F575CA">
                <w:rPr>
                  <w:rStyle w:val="Hyperlink"/>
                </w:rPr>
                <w:t>support@community</w:t>
              </w:r>
              <w:r>
                <w:rPr>
                  <w:rStyle w:val="Hyperlink"/>
                </w:rPr>
                <w:t>grant</w:t>
              </w:r>
              <w:r w:rsidRPr="00F575CA">
                <w:rPr>
                  <w:rStyle w:val="Hyperlink"/>
                </w:rPr>
                <w:t>s.gov.au</w:t>
              </w:r>
            </w:hyperlink>
          </w:p>
          <w:p w14:paraId="1530758E" w14:textId="77777777" w:rsidR="007568B1" w:rsidRPr="00F65C53" w:rsidRDefault="007568B1" w:rsidP="007877B3">
            <w:pPr>
              <w:cnfStyle w:val="000000000000" w:firstRow="0" w:lastRow="0" w:firstColumn="0" w:lastColumn="0" w:oddVBand="0" w:evenVBand="0" w:oddHBand="0" w:evenHBand="0" w:firstRowFirstColumn="0" w:firstRowLastColumn="0" w:lastRowFirstColumn="0" w:lastRowLastColumn="0"/>
            </w:pPr>
            <w:r w:rsidRPr="002C4DC5">
              <w:t xml:space="preserve">Questions should be sent no later than </w:t>
            </w:r>
            <w:r>
              <w:t>5:00pm</w:t>
            </w:r>
            <w:r w:rsidRPr="002C4DC5">
              <w:t xml:space="preserve"> AEST on </w:t>
            </w:r>
            <w:r w:rsidRPr="002C4DC5">
              <w:br/>
              <w:t>12 April 2019</w:t>
            </w:r>
          </w:p>
        </w:tc>
      </w:tr>
      <w:tr w:rsidR="007568B1" w:rsidRPr="007040EB" w14:paraId="3D4E03B6" w14:textId="77777777" w:rsidTr="0078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34F9B04A" w14:textId="77777777" w:rsidR="007568B1" w:rsidRPr="0004098F" w:rsidRDefault="007568B1" w:rsidP="007877B3">
            <w:pPr>
              <w:rPr>
                <w:color w:val="264F90"/>
              </w:rPr>
            </w:pPr>
            <w:r w:rsidRPr="0004098F">
              <w:rPr>
                <w:color w:val="264F90"/>
              </w:rPr>
              <w:t>Date guidelines released:</w:t>
            </w:r>
          </w:p>
        </w:tc>
        <w:tc>
          <w:tcPr>
            <w:tcW w:w="5983" w:type="dxa"/>
            <w:shd w:val="clear" w:color="auto" w:fill="auto"/>
          </w:tcPr>
          <w:p w14:paraId="69ECD255" w14:textId="77777777" w:rsidR="007568B1" w:rsidRPr="00F65C53" w:rsidRDefault="007568B1" w:rsidP="007877B3">
            <w:pPr>
              <w:cnfStyle w:val="000000100000" w:firstRow="0" w:lastRow="0" w:firstColumn="0" w:lastColumn="0" w:oddVBand="0" w:evenVBand="0" w:oddHBand="1" w:evenHBand="0" w:firstRowFirstColumn="0" w:firstRowLastColumn="0" w:lastRowFirstColumn="0" w:lastRowLastColumn="0"/>
            </w:pPr>
            <w:r w:rsidRPr="002C4DC5">
              <w:t>29 March 2019</w:t>
            </w:r>
          </w:p>
        </w:tc>
      </w:tr>
      <w:tr w:rsidR="007568B1" w14:paraId="3C20ADE3" w14:textId="77777777" w:rsidTr="007877B3">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74F1281E" w14:textId="77777777" w:rsidR="007568B1" w:rsidRPr="0004098F" w:rsidRDefault="007568B1" w:rsidP="007877B3">
            <w:pPr>
              <w:rPr>
                <w:color w:val="264F90"/>
              </w:rPr>
            </w:pPr>
            <w:r w:rsidRPr="0004098F">
              <w:rPr>
                <w:color w:val="264F90"/>
              </w:rPr>
              <w:t xml:space="preserve">Type of </w:t>
            </w:r>
            <w:r>
              <w:rPr>
                <w:color w:val="264F90"/>
              </w:rPr>
              <w:t>grant</w:t>
            </w:r>
            <w:r w:rsidRPr="0004098F">
              <w:rPr>
                <w:color w:val="264F90"/>
              </w:rPr>
              <w:t xml:space="preserve"> opportunity:</w:t>
            </w:r>
          </w:p>
        </w:tc>
        <w:tc>
          <w:tcPr>
            <w:tcW w:w="5983" w:type="dxa"/>
            <w:shd w:val="clear" w:color="auto" w:fill="auto"/>
          </w:tcPr>
          <w:p w14:paraId="629D0048" w14:textId="77777777" w:rsidR="007568B1" w:rsidRPr="00F65C53" w:rsidRDefault="007568B1" w:rsidP="007877B3">
            <w:pPr>
              <w:cnfStyle w:val="000000000000" w:firstRow="0" w:lastRow="0" w:firstColumn="0" w:lastColumn="0" w:oddVBand="0" w:evenVBand="0" w:oddHBand="0" w:evenHBand="0" w:firstRowFirstColumn="0" w:firstRowLastColumn="0" w:lastRowFirstColumn="0" w:lastRowLastColumn="0"/>
            </w:pPr>
            <w:r>
              <w:t>Closed non-competitive</w:t>
            </w:r>
          </w:p>
        </w:tc>
      </w:tr>
    </w:tbl>
    <w:p w14:paraId="4CBBAE3D" w14:textId="77777777" w:rsidR="007568B1" w:rsidRDefault="007568B1" w:rsidP="007568B1"/>
    <w:p w14:paraId="57182CA8" w14:textId="77777777" w:rsidR="007568B1" w:rsidRDefault="007568B1" w:rsidP="007568B1">
      <w:pPr>
        <w:spacing w:before="0" w:after="0" w:line="240" w:lineRule="auto"/>
      </w:pPr>
      <w:r>
        <w:br w:type="page"/>
      </w:r>
    </w:p>
    <w:p w14:paraId="55760258" w14:textId="77777777" w:rsidR="007568B1" w:rsidRDefault="007568B1" w:rsidP="007568B1">
      <w:pPr>
        <w:pStyle w:val="TOCHeading"/>
      </w:pPr>
      <w:r>
        <w:lastRenderedPageBreak/>
        <w:t>Contents</w:t>
      </w:r>
    </w:p>
    <w:p w14:paraId="2B44D797" w14:textId="0580208C" w:rsidR="007568B1" w:rsidRDefault="007568B1" w:rsidP="007568B1">
      <w:pPr>
        <w:pStyle w:val="TOC3"/>
        <w:rPr>
          <w:rFonts w:asciiTheme="minorHAnsi" w:eastAsiaTheme="minorEastAsia" w:hAnsiTheme="minorHAnsi" w:cstheme="minorBidi"/>
          <w:noProof/>
          <w:sz w:val="22"/>
          <w:lang w:val="en-AU" w:eastAsia="en-AU"/>
        </w:rPr>
      </w:pPr>
      <w:r>
        <w:rPr>
          <w:b/>
          <w:szCs w:val="28"/>
        </w:rPr>
        <w:fldChar w:fldCharType="begin"/>
      </w:r>
      <w:r>
        <w:rPr>
          <w:szCs w:val="28"/>
        </w:rPr>
        <w:instrText xml:space="preserve"> TOC \o "2-9" </w:instrText>
      </w:r>
      <w:r>
        <w:rPr>
          <w:b/>
          <w:szCs w:val="28"/>
        </w:rPr>
        <w:fldChar w:fldCharType="separate"/>
      </w:r>
      <w:r>
        <w:rPr>
          <w:noProof/>
        </w:rPr>
        <w:t>1.1</w:t>
      </w:r>
      <w:r>
        <w:rPr>
          <w:rFonts w:asciiTheme="minorHAnsi" w:eastAsiaTheme="minorEastAsia" w:hAnsiTheme="minorHAnsi" w:cstheme="minorBidi"/>
          <w:noProof/>
          <w:sz w:val="22"/>
          <w:lang w:val="en-AU" w:eastAsia="en-AU"/>
        </w:rPr>
        <w:tab/>
      </w:r>
      <w:r>
        <w:rPr>
          <w:noProof/>
        </w:rPr>
        <w:t>Introduction</w:t>
      </w:r>
      <w:r>
        <w:rPr>
          <w:noProof/>
        </w:rPr>
        <w:tab/>
      </w:r>
      <w:r>
        <w:rPr>
          <w:noProof/>
        </w:rPr>
        <w:fldChar w:fldCharType="begin"/>
      </w:r>
      <w:r>
        <w:rPr>
          <w:noProof/>
        </w:rPr>
        <w:instrText xml:space="preserve"> PAGEREF _Toc3559221 \h </w:instrText>
      </w:r>
      <w:r>
        <w:rPr>
          <w:noProof/>
        </w:rPr>
      </w:r>
      <w:r>
        <w:rPr>
          <w:noProof/>
        </w:rPr>
        <w:fldChar w:fldCharType="separate"/>
      </w:r>
      <w:r w:rsidR="003F7079">
        <w:rPr>
          <w:noProof/>
        </w:rPr>
        <w:t>5</w:t>
      </w:r>
      <w:r>
        <w:rPr>
          <w:noProof/>
        </w:rPr>
        <w:fldChar w:fldCharType="end"/>
      </w:r>
    </w:p>
    <w:p w14:paraId="0B0F8BBC" w14:textId="3CE207C1" w:rsidR="007568B1" w:rsidRDefault="007568B1" w:rsidP="007568B1">
      <w:pPr>
        <w:pStyle w:val="TOC2"/>
        <w:rPr>
          <w:rFonts w:asciiTheme="minorHAnsi" w:eastAsiaTheme="minorEastAsia" w:hAnsiTheme="minorHAnsi" w:cstheme="minorBidi"/>
          <w:b w:val="0"/>
          <w:noProof/>
          <w:sz w:val="22"/>
          <w:lang w:val="en-AU" w:eastAsia="en-AU"/>
        </w:rPr>
      </w:pPr>
      <w:r>
        <w:rPr>
          <w:noProof/>
        </w:rPr>
        <w:t>2.</w:t>
      </w:r>
      <w:r>
        <w:rPr>
          <w:rFonts w:asciiTheme="minorHAnsi" w:eastAsiaTheme="minorEastAsia" w:hAnsiTheme="minorHAnsi" w:cstheme="minorBidi"/>
          <w:b w:val="0"/>
          <w:noProof/>
          <w:sz w:val="22"/>
          <w:lang w:val="en-AU" w:eastAsia="en-AU"/>
        </w:rPr>
        <w:tab/>
      </w:r>
      <w:r>
        <w:rPr>
          <w:noProof/>
        </w:rPr>
        <w:t>About the grant program</w:t>
      </w:r>
      <w:r>
        <w:rPr>
          <w:noProof/>
        </w:rPr>
        <w:tab/>
      </w:r>
      <w:r>
        <w:rPr>
          <w:noProof/>
        </w:rPr>
        <w:fldChar w:fldCharType="begin"/>
      </w:r>
      <w:r>
        <w:rPr>
          <w:noProof/>
        </w:rPr>
        <w:instrText xml:space="preserve"> PAGEREF _Toc3559222 \h </w:instrText>
      </w:r>
      <w:r>
        <w:rPr>
          <w:noProof/>
        </w:rPr>
      </w:r>
      <w:r>
        <w:rPr>
          <w:noProof/>
        </w:rPr>
        <w:fldChar w:fldCharType="separate"/>
      </w:r>
      <w:r w:rsidR="003F7079">
        <w:rPr>
          <w:noProof/>
        </w:rPr>
        <w:t>5</w:t>
      </w:r>
      <w:r>
        <w:rPr>
          <w:noProof/>
        </w:rPr>
        <w:fldChar w:fldCharType="end"/>
      </w:r>
    </w:p>
    <w:p w14:paraId="6E705089" w14:textId="11EB1611" w:rsidR="007568B1" w:rsidRDefault="007568B1" w:rsidP="007568B1">
      <w:pPr>
        <w:pStyle w:val="TOC3"/>
        <w:rPr>
          <w:rFonts w:asciiTheme="minorHAnsi" w:eastAsiaTheme="minorEastAsia" w:hAnsiTheme="minorHAnsi" w:cstheme="minorBidi"/>
          <w:noProof/>
          <w:sz w:val="22"/>
          <w:lang w:val="en-AU" w:eastAsia="en-AU"/>
        </w:rPr>
      </w:pPr>
      <w:r>
        <w:rPr>
          <w:noProof/>
        </w:rPr>
        <w:t>2.1</w:t>
      </w:r>
      <w:r>
        <w:rPr>
          <w:rFonts w:asciiTheme="minorHAnsi" w:eastAsiaTheme="minorEastAsia" w:hAnsiTheme="minorHAnsi" w:cstheme="minorBidi"/>
          <w:noProof/>
          <w:sz w:val="22"/>
          <w:lang w:val="en-AU" w:eastAsia="en-AU"/>
        </w:rPr>
        <w:tab/>
      </w:r>
      <w:r>
        <w:rPr>
          <w:noProof/>
        </w:rPr>
        <w:t>About the SETS – Client Services grant opportunity</w:t>
      </w:r>
      <w:r>
        <w:rPr>
          <w:noProof/>
        </w:rPr>
        <w:tab/>
      </w:r>
      <w:r>
        <w:rPr>
          <w:noProof/>
        </w:rPr>
        <w:fldChar w:fldCharType="begin"/>
      </w:r>
      <w:r>
        <w:rPr>
          <w:noProof/>
        </w:rPr>
        <w:instrText xml:space="preserve"> PAGEREF _Toc3559223 \h </w:instrText>
      </w:r>
      <w:r>
        <w:rPr>
          <w:noProof/>
        </w:rPr>
      </w:r>
      <w:r>
        <w:rPr>
          <w:noProof/>
        </w:rPr>
        <w:fldChar w:fldCharType="separate"/>
      </w:r>
      <w:r w:rsidR="003F7079">
        <w:rPr>
          <w:noProof/>
        </w:rPr>
        <w:t>7</w:t>
      </w:r>
      <w:r>
        <w:rPr>
          <w:noProof/>
        </w:rPr>
        <w:fldChar w:fldCharType="end"/>
      </w:r>
    </w:p>
    <w:p w14:paraId="65CE7C2C" w14:textId="3E745A7C" w:rsidR="007568B1" w:rsidRDefault="007568B1" w:rsidP="007568B1">
      <w:pPr>
        <w:pStyle w:val="TOC2"/>
        <w:rPr>
          <w:rFonts w:asciiTheme="minorHAnsi" w:eastAsiaTheme="minorEastAsia" w:hAnsiTheme="minorHAnsi" w:cstheme="minorBidi"/>
          <w:b w:val="0"/>
          <w:noProof/>
          <w:sz w:val="22"/>
          <w:lang w:val="en-AU" w:eastAsia="en-AU"/>
        </w:rPr>
      </w:pPr>
      <w:r>
        <w:rPr>
          <w:noProof/>
        </w:rPr>
        <w:t>3.</w:t>
      </w:r>
      <w:r>
        <w:rPr>
          <w:rFonts w:asciiTheme="minorHAnsi" w:eastAsiaTheme="minorEastAsia" w:hAnsiTheme="minorHAnsi" w:cstheme="minorBidi"/>
          <w:b w:val="0"/>
          <w:noProof/>
          <w:sz w:val="22"/>
          <w:lang w:val="en-AU" w:eastAsia="en-AU"/>
        </w:rPr>
        <w:tab/>
      </w:r>
      <w:r>
        <w:rPr>
          <w:noProof/>
        </w:rPr>
        <w:t>Grant amount and grant period</w:t>
      </w:r>
      <w:r>
        <w:rPr>
          <w:noProof/>
        </w:rPr>
        <w:tab/>
      </w:r>
      <w:r>
        <w:rPr>
          <w:noProof/>
        </w:rPr>
        <w:fldChar w:fldCharType="begin"/>
      </w:r>
      <w:r>
        <w:rPr>
          <w:noProof/>
        </w:rPr>
        <w:instrText xml:space="preserve"> PAGEREF _Toc3559224 \h </w:instrText>
      </w:r>
      <w:r>
        <w:rPr>
          <w:noProof/>
        </w:rPr>
      </w:r>
      <w:r>
        <w:rPr>
          <w:noProof/>
        </w:rPr>
        <w:fldChar w:fldCharType="separate"/>
      </w:r>
      <w:r w:rsidR="003F7079">
        <w:rPr>
          <w:noProof/>
        </w:rPr>
        <w:t>9</w:t>
      </w:r>
      <w:r>
        <w:rPr>
          <w:noProof/>
        </w:rPr>
        <w:fldChar w:fldCharType="end"/>
      </w:r>
    </w:p>
    <w:p w14:paraId="3D7E8D1C" w14:textId="376C999D" w:rsidR="007568B1" w:rsidRDefault="007568B1" w:rsidP="007568B1">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_Toc3559225 \h </w:instrText>
      </w:r>
      <w:r>
        <w:rPr>
          <w:noProof/>
        </w:rPr>
      </w:r>
      <w:r>
        <w:rPr>
          <w:noProof/>
        </w:rPr>
        <w:fldChar w:fldCharType="separate"/>
      </w:r>
      <w:r w:rsidR="003F7079">
        <w:rPr>
          <w:noProof/>
        </w:rPr>
        <w:t>9</w:t>
      </w:r>
      <w:r>
        <w:rPr>
          <w:noProof/>
        </w:rPr>
        <w:fldChar w:fldCharType="end"/>
      </w:r>
    </w:p>
    <w:p w14:paraId="3AF83EF1" w14:textId="332C8316" w:rsidR="007568B1" w:rsidRDefault="007568B1" w:rsidP="007568B1">
      <w:pPr>
        <w:pStyle w:val="TOC2"/>
        <w:rPr>
          <w:rFonts w:asciiTheme="minorHAnsi" w:eastAsiaTheme="minorEastAsia" w:hAnsiTheme="minorHAnsi" w:cstheme="minorBidi"/>
          <w:b w:val="0"/>
          <w:noProof/>
          <w:sz w:val="22"/>
          <w:lang w:val="en-AU" w:eastAsia="en-AU"/>
        </w:rPr>
      </w:pPr>
      <w:r>
        <w:rPr>
          <w:noProof/>
        </w:rPr>
        <w:t>4.</w:t>
      </w:r>
      <w:r>
        <w:rPr>
          <w:rFonts w:asciiTheme="minorHAnsi" w:eastAsiaTheme="minorEastAsia" w:hAnsiTheme="minorHAnsi" w:cstheme="minorBidi"/>
          <w:b w:val="0"/>
          <w:noProof/>
          <w:sz w:val="22"/>
          <w:lang w:val="en-AU" w:eastAsia="en-AU"/>
        </w:rPr>
        <w:tab/>
      </w:r>
      <w:r>
        <w:rPr>
          <w:noProof/>
        </w:rPr>
        <w:t>Eligibility criteria</w:t>
      </w:r>
      <w:r>
        <w:rPr>
          <w:noProof/>
        </w:rPr>
        <w:tab/>
      </w:r>
      <w:r>
        <w:rPr>
          <w:noProof/>
        </w:rPr>
        <w:fldChar w:fldCharType="begin"/>
      </w:r>
      <w:r>
        <w:rPr>
          <w:noProof/>
        </w:rPr>
        <w:instrText xml:space="preserve"> PAGEREF _Toc3559226 \h </w:instrText>
      </w:r>
      <w:r>
        <w:rPr>
          <w:noProof/>
        </w:rPr>
      </w:r>
      <w:r>
        <w:rPr>
          <w:noProof/>
        </w:rPr>
        <w:fldChar w:fldCharType="separate"/>
      </w:r>
      <w:r w:rsidR="003F7079">
        <w:rPr>
          <w:noProof/>
        </w:rPr>
        <w:t>9</w:t>
      </w:r>
      <w:r>
        <w:rPr>
          <w:noProof/>
        </w:rPr>
        <w:fldChar w:fldCharType="end"/>
      </w:r>
    </w:p>
    <w:p w14:paraId="6093803C" w14:textId="1BDED850" w:rsidR="007568B1" w:rsidRDefault="007568B1" w:rsidP="007568B1">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_Toc3559227 \h </w:instrText>
      </w:r>
      <w:r>
        <w:rPr>
          <w:noProof/>
        </w:rPr>
      </w:r>
      <w:r>
        <w:rPr>
          <w:noProof/>
        </w:rPr>
        <w:fldChar w:fldCharType="separate"/>
      </w:r>
      <w:r w:rsidR="003F7079">
        <w:rPr>
          <w:noProof/>
        </w:rPr>
        <w:t>10</w:t>
      </w:r>
      <w:r>
        <w:rPr>
          <w:noProof/>
        </w:rPr>
        <w:fldChar w:fldCharType="end"/>
      </w:r>
    </w:p>
    <w:p w14:paraId="15AB7217" w14:textId="307A5BD6" w:rsidR="007568B1" w:rsidRDefault="007568B1" w:rsidP="007568B1">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Who is not eligible to apply for a grant?</w:t>
      </w:r>
      <w:r>
        <w:rPr>
          <w:noProof/>
        </w:rPr>
        <w:tab/>
      </w:r>
      <w:r>
        <w:rPr>
          <w:noProof/>
        </w:rPr>
        <w:fldChar w:fldCharType="begin"/>
      </w:r>
      <w:r>
        <w:rPr>
          <w:noProof/>
        </w:rPr>
        <w:instrText xml:space="preserve"> PAGEREF _Toc3559228 \h </w:instrText>
      </w:r>
      <w:r>
        <w:rPr>
          <w:noProof/>
        </w:rPr>
      </w:r>
      <w:r>
        <w:rPr>
          <w:noProof/>
        </w:rPr>
        <w:fldChar w:fldCharType="separate"/>
      </w:r>
      <w:r w:rsidR="003F7079">
        <w:rPr>
          <w:noProof/>
        </w:rPr>
        <w:t>10</w:t>
      </w:r>
      <w:r>
        <w:rPr>
          <w:noProof/>
        </w:rPr>
        <w:fldChar w:fldCharType="end"/>
      </w:r>
    </w:p>
    <w:p w14:paraId="6D448C3B" w14:textId="6C835B3C" w:rsidR="007568B1" w:rsidRDefault="007568B1" w:rsidP="007568B1">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What qualifications, skills or checks are required?</w:t>
      </w:r>
      <w:r>
        <w:rPr>
          <w:noProof/>
        </w:rPr>
        <w:tab/>
      </w:r>
      <w:r>
        <w:rPr>
          <w:noProof/>
        </w:rPr>
        <w:fldChar w:fldCharType="begin"/>
      </w:r>
      <w:r>
        <w:rPr>
          <w:noProof/>
        </w:rPr>
        <w:instrText xml:space="preserve"> PAGEREF _Toc3559229 \h </w:instrText>
      </w:r>
      <w:r>
        <w:rPr>
          <w:noProof/>
        </w:rPr>
      </w:r>
      <w:r>
        <w:rPr>
          <w:noProof/>
        </w:rPr>
        <w:fldChar w:fldCharType="separate"/>
      </w:r>
      <w:r w:rsidR="003F7079">
        <w:rPr>
          <w:noProof/>
        </w:rPr>
        <w:t>10</w:t>
      </w:r>
      <w:r>
        <w:rPr>
          <w:noProof/>
        </w:rPr>
        <w:fldChar w:fldCharType="end"/>
      </w:r>
    </w:p>
    <w:p w14:paraId="79C4B641" w14:textId="44BCB107" w:rsidR="007568B1" w:rsidRDefault="007568B1" w:rsidP="007568B1">
      <w:pPr>
        <w:pStyle w:val="TOC2"/>
        <w:rPr>
          <w:rFonts w:asciiTheme="minorHAnsi" w:eastAsiaTheme="minorEastAsia" w:hAnsiTheme="minorHAnsi" w:cstheme="minorBidi"/>
          <w:b w:val="0"/>
          <w:noProof/>
          <w:sz w:val="22"/>
          <w:lang w:val="en-AU" w:eastAsia="en-AU"/>
        </w:rPr>
      </w:pPr>
      <w:r>
        <w:rPr>
          <w:noProof/>
        </w:rPr>
        <w:t>5.</w:t>
      </w:r>
      <w:r>
        <w:rPr>
          <w:rFonts w:asciiTheme="minorHAnsi" w:eastAsiaTheme="minorEastAsia" w:hAnsiTheme="minorHAnsi" w:cstheme="minorBidi"/>
          <w:b w:val="0"/>
          <w:noProof/>
          <w:sz w:val="22"/>
          <w:lang w:val="en-AU" w:eastAsia="en-AU"/>
        </w:rPr>
        <w:tab/>
      </w:r>
      <w:r>
        <w:rPr>
          <w:noProof/>
        </w:rPr>
        <w:t>What the grant money can be used for</w:t>
      </w:r>
      <w:r>
        <w:rPr>
          <w:noProof/>
        </w:rPr>
        <w:tab/>
      </w:r>
      <w:r>
        <w:rPr>
          <w:noProof/>
        </w:rPr>
        <w:fldChar w:fldCharType="begin"/>
      </w:r>
      <w:r>
        <w:rPr>
          <w:noProof/>
        </w:rPr>
        <w:instrText xml:space="preserve"> PAGEREF _Toc3559230 \h </w:instrText>
      </w:r>
      <w:r>
        <w:rPr>
          <w:noProof/>
        </w:rPr>
      </w:r>
      <w:r>
        <w:rPr>
          <w:noProof/>
        </w:rPr>
        <w:fldChar w:fldCharType="separate"/>
      </w:r>
      <w:r w:rsidR="003F7079">
        <w:rPr>
          <w:noProof/>
        </w:rPr>
        <w:t>11</w:t>
      </w:r>
      <w:r>
        <w:rPr>
          <w:noProof/>
        </w:rPr>
        <w:fldChar w:fldCharType="end"/>
      </w:r>
    </w:p>
    <w:p w14:paraId="0A90E184" w14:textId="54EF2A79" w:rsidR="007568B1" w:rsidRDefault="007568B1" w:rsidP="007568B1">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_Toc3559231 \h </w:instrText>
      </w:r>
      <w:r>
        <w:rPr>
          <w:noProof/>
        </w:rPr>
      </w:r>
      <w:r>
        <w:rPr>
          <w:noProof/>
        </w:rPr>
        <w:fldChar w:fldCharType="separate"/>
      </w:r>
      <w:r w:rsidR="003F7079">
        <w:rPr>
          <w:noProof/>
        </w:rPr>
        <w:t>11</w:t>
      </w:r>
      <w:r>
        <w:rPr>
          <w:noProof/>
        </w:rPr>
        <w:fldChar w:fldCharType="end"/>
      </w:r>
    </w:p>
    <w:p w14:paraId="732828D7" w14:textId="25677912" w:rsidR="007568B1" w:rsidRDefault="007568B1" w:rsidP="007568B1">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_Toc3559232 \h </w:instrText>
      </w:r>
      <w:r>
        <w:rPr>
          <w:noProof/>
        </w:rPr>
      </w:r>
      <w:r>
        <w:rPr>
          <w:noProof/>
        </w:rPr>
        <w:fldChar w:fldCharType="separate"/>
      </w:r>
      <w:r w:rsidR="003F7079">
        <w:rPr>
          <w:noProof/>
        </w:rPr>
        <w:t>11</w:t>
      </w:r>
      <w:r>
        <w:rPr>
          <w:noProof/>
        </w:rPr>
        <w:fldChar w:fldCharType="end"/>
      </w:r>
    </w:p>
    <w:p w14:paraId="66B3C088" w14:textId="437BED31" w:rsidR="007568B1" w:rsidRDefault="007568B1" w:rsidP="007568B1">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_Toc3559233 \h </w:instrText>
      </w:r>
      <w:r>
        <w:rPr>
          <w:noProof/>
        </w:rPr>
      </w:r>
      <w:r>
        <w:rPr>
          <w:noProof/>
        </w:rPr>
        <w:fldChar w:fldCharType="separate"/>
      </w:r>
      <w:r w:rsidR="003F7079">
        <w:rPr>
          <w:noProof/>
        </w:rPr>
        <w:t>12</w:t>
      </w:r>
      <w:r>
        <w:rPr>
          <w:noProof/>
        </w:rPr>
        <w:fldChar w:fldCharType="end"/>
      </w:r>
    </w:p>
    <w:p w14:paraId="18EE0823" w14:textId="3F7176F5" w:rsidR="007568B1" w:rsidRDefault="007568B1" w:rsidP="007568B1">
      <w:pPr>
        <w:pStyle w:val="TOC2"/>
        <w:rPr>
          <w:rFonts w:asciiTheme="minorHAnsi" w:eastAsiaTheme="minorEastAsia" w:hAnsiTheme="minorHAnsi" w:cstheme="minorBidi"/>
          <w:b w:val="0"/>
          <w:noProof/>
          <w:sz w:val="22"/>
          <w:lang w:val="en-AU" w:eastAsia="en-AU"/>
        </w:rPr>
      </w:pPr>
      <w:r>
        <w:rPr>
          <w:noProof/>
        </w:rPr>
        <w:t>6.</w:t>
      </w:r>
      <w:r>
        <w:rPr>
          <w:rFonts w:asciiTheme="minorHAnsi" w:eastAsiaTheme="minorEastAsia" w:hAnsiTheme="minorHAnsi" w:cstheme="minorBidi"/>
          <w:b w:val="0"/>
          <w:noProof/>
          <w:sz w:val="22"/>
          <w:lang w:val="en-AU" w:eastAsia="en-AU"/>
        </w:rPr>
        <w:tab/>
      </w:r>
      <w:r>
        <w:rPr>
          <w:noProof/>
        </w:rPr>
        <w:t>The assessment criteria</w:t>
      </w:r>
      <w:r>
        <w:rPr>
          <w:noProof/>
        </w:rPr>
        <w:tab/>
      </w:r>
      <w:r>
        <w:rPr>
          <w:noProof/>
        </w:rPr>
        <w:fldChar w:fldCharType="begin"/>
      </w:r>
      <w:r>
        <w:rPr>
          <w:noProof/>
        </w:rPr>
        <w:instrText xml:space="preserve"> PAGEREF _Toc3559234 \h </w:instrText>
      </w:r>
      <w:r>
        <w:rPr>
          <w:noProof/>
        </w:rPr>
      </w:r>
      <w:r>
        <w:rPr>
          <w:noProof/>
        </w:rPr>
        <w:fldChar w:fldCharType="separate"/>
      </w:r>
      <w:r w:rsidR="003F7079">
        <w:rPr>
          <w:noProof/>
        </w:rPr>
        <w:t>12</w:t>
      </w:r>
      <w:r>
        <w:rPr>
          <w:noProof/>
        </w:rPr>
        <w:fldChar w:fldCharType="end"/>
      </w:r>
    </w:p>
    <w:p w14:paraId="7EBADB50" w14:textId="729D4A59" w:rsidR="007568B1" w:rsidRDefault="007568B1" w:rsidP="007568B1">
      <w:pPr>
        <w:pStyle w:val="TOC2"/>
        <w:rPr>
          <w:rFonts w:asciiTheme="minorHAnsi" w:eastAsiaTheme="minorEastAsia" w:hAnsiTheme="minorHAnsi" w:cstheme="minorBidi"/>
          <w:b w:val="0"/>
          <w:noProof/>
          <w:sz w:val="22"/>
          <w:lang w:val="en-AU" w:eastAsia="en-AU"/>
        </w:rPr>
      </w:pPr>
      <w:r>
        <w:rPr>
          <w:noProof/>
        </w:rPr>
        <w:t>7.</w:t>
      </w:r>
      <w:r>
        <w:rPr>
          <w:rFonts w:asciiTheme="minorHAnsi" w:eastAsiaTheme="minorEastAsia" w:hAnsiTheme="minorHAnsi" w:cstheme="minorBidi"/>
          <w:b w:val="0"/>
          <w:noProof/>
          <w:sz w:val="22"/>
          <w:lang w:val="en-AU" w:eastAsia="en-AU"/>
        </w:rPr>
        <w:tab/>
      </w:r>
      <w:r>
        <w:rPr>
          <w:noProof/>
        </w:rPr>
        <w:t>How to apply</w:t>
      </w:r>
      <w:r>
        <w:rPr>
          <w:noProof/>
        </w:rPr>
        <w:tab/>
      </w:r>
      <w:r>
        <w:rPr>
          <w:noProof/>
        </w:rPr>
        <w:fldChar w:fldCharType="begin"/>
      </w:r>
      <w:r>
        <w:rPr>
          <w:noProof/>
        </w:rPr>
        <w:instrText xml:space="preserve"> PAGEREF _Toc3559235 \h </w:instrText>
      </w:r>
      <w:r>
        <w:rPr>
          <w:noProof/>
        </w:rPr>
      </w:r>
      <w:r>
        <w:rPr>
          <w:noProof/>
        </w:rPr>
        <w:fldChar w:fldCharType="separate"/>
      </w:r>
      <w:r w:rsidR="003F7079">
        <w:rPr>
          <w:noProof/>
        </w:rPr>
        <w:t>13</w:t>
      </w:r>
      <w:r>
        <w:rPr>
          <w:noProof/>
        </w:rPr>
        <w:fldChar w:fldCharType="end"/>
      </w:r>
    </w:p>
    <w:p w14:paraId="617C7988" w14:textId="2FFF2CDD" w:rsidR="007568B1" w:rsidRDefault="007568B1" w:rsidP="007568B1">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Attachments to the application</w:t>
      </w:r>
      <w:r>
        <w:rPr>
          <w:noProof/>
        </w:rPr>
        <w:tab/>
      </w:r>
      <w:r>
        <w:rPr>
          <w:noProof/>
        </w:rPr>
        <w:fldChar w:fldCharType="begin"/>
      </w:r>
      <w:r>
        <w:rPr>
          <w:noProof/>
        </w:rPr>
        <w:instrText xml:space="preserve"> PAGEREF _Toc3559236 \h </w:instrText>
      </w:r>
      <w:r>
        <w:rPr>
          <w:noProof/>
        </w:rPr>
      </w:r>
      <w:r>
        <w:rPr>
          <w:noProof/>
        </w:rPr>
        <w:fldChar w:fldCharType="separate"/>
      </w:r>
      <w:r w:rsidR="003F7079">
        <w:rPr>
          <w:noProof/>
        </w:rPr>
        <w:t>14</w:t>
      </w:r>
      <w:r>
        <w:rPr>
          <w:noProof/>
        </w:rPr>
        <w:fldChar w:fldCharType="end"/>
      </w:r>
    </w:p>
    <w:p w14:paraId="7F4F3EC7" w14:textId="30680F78" w:rsidR="007568B1" w:rsidRDefault="007568B1" w:rsidP="007568B1">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Pr>
          <w:noProof/>
        </w:rPr>
        <w:t>Joint (consortia) applications</w:t>
      </w:r>
      <w:r>
        <w:rPr>
          <w:noProof/>
        </w:rPr>
        <w:tab/>
      </w:r>
      <w:r>
        <w:rPr>
          <w:noProof/>
        </w:rPr>
        <w:fldChar w:fldCharType="begin"/>
      </w:r>
      <w:r>
        <w:rPr>
          <w:noProof/>
        </w:rPr>
        <w:instrText xml:space="preserve"> PAGEREF _Toc3559237 \h </w:instrText>
      </w:r>
      <w:r>
        <w:rPr>
          <w:noProof/>
        </w:rPr>
      </w:r>
      <w:r>
        <w:rPr>
          <w:noProof/>
        </w:rPr>
        <w:fldChar w:fldCharType="separate"/>
      </w:r>
      <w:r w:rsidR="003F7079">
        <w:rPr>
          <w:noProof/>
        </w:rPr>
        <w:t>15</w:t>
      </w:r>
      <w:r>
        <w:rPr>
          <w:noProof/>
        </w:rPr>
        <w:fldChar w:fldCharType="end"/>
      </w:r>
    </w:p>
    <w:p w14:paraId="1E285979" w14:textId="0AEA07B6" w:rsidR="007568B1" w:rsidRDefault="007568B1" w:rsidP="007568B1">
      <w:pPr>
        <w:pStyle w:val="TOC3"/>
        <w:rPr>
          <w:rFonts w:asciiTheme="minorHAnsi" w:eastAsiaTheme="minorEastAsia" w:hAnsiTheme="minorHAnsi" w:cstheme="minorBidi"/>
          <w:noProof/>
          <w:sz w:val="22"/>
          <w:lang w:val="en-AU" w:eastAsia="en-AU"/>
        </w:rPr>
      </w:pPr>
      <w:r>
        <w:rPr>
          <w:noProof/>
        </w:rPr>
        <w:t>7.3</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_Toc3559238 \h </w:instrText>
      </w:r>
      <w:r>
        <w:rPr>
          <w:noProof/>
        </w:rPr>
      </w:r>
      <w:r>
        <w:rPr>
          <w:noProof/>
        </w:rPr>
        <w:fldChar w:fldCharType="separate"/>
      </w:r>
      <w:r w:rsidR="003F7079">
        <w:rPr>
          <w:noProof/>
        </w:rPr>
        <w:t>15</w:t>
      </w:r>
      <w:r>
        <w:rPr>
          <w:noProof/>
        </w:rPr>
        <w:fldChar w:fldCharType="end"/>
      </w:r>
    </w:p>
    <w:p w14:paraId="0CFD3021" w14:textId="7B3E793B" w:rsidR="007568B1" w:rsidRDefault="007568B1" w:rsidP="007568B1">
      <w:pPr>
        <w:pStyle w:val="TOC3"/>
        <w:rPr>
          <w:rFonts w:asciiTheme="minorHAnsi" w:eastAsiaTheme="minorEastAsia" w:hAnsiTheme="minorHAnsi" w:cstheme="minorBidi"/>
          <w:noProof/>
          <w:sz w:val="22"/>
          <w:lang w:val="en-AU" w:eastAsia="en-AU"/>
        </w:rPr>
      </w:pPr>
      <w:r>
        <w:rPr>
          <w:noProof/>
        </w:rPr>
        <w:t>7.4</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_Toc3559239 \h </w:instrText>
      </w:r>
      <w:r>
        <w:rPr>
          <w:noProof/>
        </w:rPr>
      </w:r>
      <w:r>
        <w:rPr>
          <w:noProof/>
        </w:rPr>
        <w:fldChar w:fldCharType="separate"/>
      </w:r>
      <w:r w:rsidR="003F7079">
        <w:rPr>
          <w:noProof/>
        </w:rPr>
        <w:t>16</w:t>
      </w:r>
      <w:r>
        <w:rPr>
          <w:noProof/>
        </w:rPr>
        <w:fldChar w:fldCharType="end"/>
      </w:r>
    </w:p>
    <w:p w14:paraId="682C2C2A" w14:textId="586C3177" w:rsidR="007568B1" w:rsidRDefault="007568B1" w:rsidP="007568B1">
      <w:pPr>
        <w:pStyle w:val="TOC2"/>
        <w:rPr>
          <w:rFonts w:asciiTheme="minorHAnsi" w:eastAsiaTheme="minorEastAsia" w:hAnsiTheme="minorHAnsi" w:cstheme="minorBidi"/>
          <w:b w:val="0"/>
          <w:noProof/>
          <w:sz w:val="22"/>
          <w:lang w:val="en-AU" w:eastAsia="en-AU"/>
        </w:rPr>
      </w:pPr>
      <w:r>
        <w:rPr>
          <w:noProof/>
        </w:rPr>
        <w:t>8.</w:t>
      </w:r>
      <w:r>
        <w:rPr>
          <w:rFonts w:asciiTheme="minorHAnsi" w:eastAsiaTheme="minorEastAsia" w:hAnsiTheme="minorHAnsi" w:cstheme="minorBidi"/>
          <w:b w:val="0"/>
          <w:noProof/>
          <w:sz w:val="22"/>
          <w:lang w:val="en-AU" w:eastAsia="en-AU"/>
        </w:rPr>
        <w:tab/>
      </w:r>
      <w:r>
        <w:rPr>
          <w:noProof/>
        </w:rPr>
        <w:t>The grant selection process</w:t>
      </w:r>
      <w:r>
        <w:rPr>
          <w:noProof/>
        </w:rPr>
        <w:tab/>
      </w:r>
      <w:r>
        <w:rPr>
          <w:noProof/>
        </w:rPr>
        <w:fldChar w:fldCharType="begin"/>
      </w:r>
      <w:r>
        <w:rPr>
          <w:noProof/>
        </w:rPr>
        <w:instrText xml:space="preserve"> PAGEREF _Toc3559240 \h </w:instrText>
      </w:r>
      <w:r>
        <w:rPr>
          <w:noProof/>
        </w:rPr>
      </w:r>
      <w:r>
        <w:rPr>
          <w:noProof/>
        </w:rPr>
        <w:fldChar w:fldCharType="separate"/>
      </w:r>
      <w:r w:rsidR="003F7079">
        <w:rPr>
          <w:noProof/>
        </w:rPr>
        <w:t>16</w:t>
      </w:r>
      <w:r>
        <w:rPr>
          <w:noProof/>
        </w:rPr>
        <w:fldChar w:fldCharType="end"/>
      </w:r>
    </w:p>
    <w:p w14:paraId="01A740B8" w14:textId="5E827964" w:rsidR="007568B1" w:rsidRDefault="007568B1" w:rsidP="007568B1">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grant applications</w:t>
      </w:r>
      <w:r>
        <w:rPr>
          <w:noProof/>
        </w:rPr>
        <w:tab/>
      </w:r>
      <w:r>
        <w:rPr>
          <w:noProof/>
        </w:rPr>
        <w:fldChar w:fldCharType="begin"/>
      </w:r>
      <w:r>
        <w:rPr>
          <w:noProof/>
        </w:rPr>
        <w:instrText xml:space="preserve"> PAGEREF _Toc3559241 \h </w:instrText>
      </w:r>
      <w:r>
        <w:rPr>
          <w:noProof/>
        </w:rPr>
      </w:r>
      <w:r>
        <w:rPr>
          <w:noProof/>
        </w:rPr>
        <w:fldChar w:fldCharType="separate"/>
      </w:r>
      <w:r w:rsidR="003F7079">
        <w:rPr>
          <w:noProof/>
        </w:rPr>
        <w:t>16</w:t>
      </w:r>
      <w:r>
        <w:rPr>
          <w:noProof/>
        </w:rPr>
        <w:fldChar w:fldCharType="end"/>
      </w:r>
    </w:p>
    <w:p w14:paraId="086A972F" w14:textId="6843798E" w:rsidR="007568B1" w:rsidRDefault="007568B1" w:rsidP="007568B1">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Who will assess applications?</w:t>
      </w:r>
      <w:r>
        <w:rPr>
          <w:noProof/>
        </w:rPr>
        <w:tab/>
      </w:r>
      <w:r>
        <w:rPr>
          <w:noProof/>
        </w:rPr>
        <w:fldChar w:fldCharType="begin"/>
      </w:r>
      <w:r>
        <w:rPr>
          <w:noProof/>
        </w:rPr>
        <w:instrText xml:space="preserve"> PAGEREF _Toc3559242 \h </w:instrText>
      </w:r>
      <w:r>
        <w:rPr>
          <w:noProof/>
        </w:rPr>
      </w:r>
      <w:r>
        <w:rPr>
          <w:noProof/>
        </w:rPr>
        <w:fldChar w:fldCharType="separate"/>
      </w:r>
      <w:r w:rsidR="003F7079">
        <w:rPr>
          <w:noProof/>
        </w:rPr>
        <w:t>17</w:t>
      </w:r>
      <w:r>
        <w:rPr>
          <w:noProof/>
        </w:rPr>
        <w:fldChar w:fldCharType="end"/>
      </w:r>
    </w:p>
    <w:p w14:paraId="7C368C5C" w14:textId="7C957B4F" w:rsidR="007568B1" w:rsidRDefault="007568B1" w:rsidP="007568B1">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_Toc3559243 \h </w:instrText>
      </w:r>
      <w:r>
        <w:rPr>
          <w:noProof/>
        </w:rPr>
      </w:r>
      <w:r>
        <w:rPr>
          <w:noProof/>
        </w:rPr>
        <w:fldChar w:fldCharType="separate"/>
      </w:r>
      <w:r w:rsidR="003F7079">
        <w:rPr>
          <w:noProof/>
        </w:rPr>
        <w:t>17</w:t>
      </w:r>
      <w:r>
        <w:rPr>
          <w:noProof/>
        </w:rPr>
        <w:fldChar w:fldCharType="end"/>
      </w:r>
    </w:p>
    <w:p w14:paraId="53B3AA28" w14:textId="1387D34A" w:rsidR="007568B1" w:rsidRDefault="007568B1" w:rsidP="007568B1">
      <w:pPr>
        <w:pStyle w:val="TOC2"/>
        <w:rPr>
          <w:rFonts w:asciiTheme="minorHAnsi" w:eastAsiaTheme="minorEastAsia" w:hAnsiTheme="minorHAnsi" w:cstheme="minorBidi"/>
          <w:b w:val="0"/>
          <w:noProof/>
          <w:sz w:val="22"/>
          <w:lang w:val="en-AU" w:eastAsia="en-AU"/>
        </w:rPr>
      </w:pPr>
      <w:r>
        <w:rPr>
          <w:noProof/>
        </w:rPr>
        <w:t>9.</w:t>
      </w:r>
      <w:r>
        <w:rPr>
          <w:rFonts w:asciiTheme="minorHAnsi" w:eastAsiaTheme="minorEastAsia" w:hAnsiTheme="minorHAnsi" w:cstheme="minorBidi"/>
          <w:b w:val="0"/>
          <w:noProof/>
          <w:sz w:val="22"/>
          <w:lang w:val="en-AU" w:eastAsia="en-AU"/>
        </w:rPr>
        <w:tab/>
      </w:r>
      <w:r>
        <w:rPr>
          <w:noProof/>
        </w:rPr>
        <w:t>Notification of application outcomes</w:t>
      </w:r>
      <w:r>
        <w:rPr>
          <w:noProof/>
        </w:rPr>
        <w:tab/>
      </w:r>
      <w:r>
        <w:rPr>
          <w:noProof/>
        </w:rPr>
        <w:fldChar w:fldCharType="begin"/>
      </w:r>
      <w:r>
        <w:rPr>
          <w:noProof/>
        </w:rPr>
        <w:instrText xml:space="preserve"> PAGEREF _Toc3559244 \h </w:instrText>
      </w:r>
      <w:r>
        <w:rPr>
          <w:noProof/>
        </w:rPr>
      </w:r>
      <w:r>
        <w:rPr>
          <w:noProof/>
        </w:rPr>
        <w:fldChar w:fldCharType="separate"/>
      </w:r>
      <w:r w:rsidR="003F7079">
        <w:rPr>
          <w:noProof/>
        </w:rPr>
        <w:t>17</w:t>
      </w:r>
      <w:r>
        <w:rPr>
          <w:noProof/>
        </w:rPr>
        <w:fldChar w:fldCharType="end"/>
      </w:r>
    </w:p>
    <w:p w14:paraId="2E93A503" w14:textId="07D29DCF" w:rsidR="007568B1" w:rsidRDefault="007568B1" w:rsidP="007568B1">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_Toc3559245 \h </w:instrText>
      </w:r>
      <w:r>
        <w:rPr>
          <w:noProof/>
        </w:rPr>
      </w:r>
      <w:r>
        <w:rPr>
          <w:noProof/>
        </w:rPr>
        <w:fldChar w:fldCharType="separate"/>
      </w:r>
      <w:r w:rsidR="003F7079">
        <w:rPr>
          <w:noProof/>
        </w:rPr>
        <w:t>17</w:t>
      </w:r>
      <w:r>
        <w:rPr>
          <w:noProof/>
        </w:rPr>
        <w:fldChar w:fldCharType="end"/>
      </w:r>
    </w:p>
    <w:p w14:paraId="712E2DD1" w14:textId="3BD2C4B4" w:rsidR="007568B1" w:rsidRDefault="007568B1" w:rsidP="007568B1">
      <w:pPr>
        <w:pStyle w:val="TOC2"/>
        <w:rPr>
          <w:rFonts w:asciiTheme="minorHAnsi" w:eastAsiaTheme="minorEastAsia" w:hAnsiTheme="minorHAnsi" w:cstheme="minorBidi"/>
          <w:b w:val="0"/>
          <w:noProof/>
          <w:sz w:val="22"/>
          <w:lang w:val="en-AU" w:eastAsia="en-AU"/>
        </w:rPr>
      </w:pPr>
      <w:r>
        <w:rPr>
          <w:noProof/>
        </w:rPr>
        <w:t>10.</w:t>
      </w:r>
      <w:r>
        <w:rPr>
          <w:rFonts w:asciiTheme="minorHAnsi" w:eastAsiaTheme="minorEastAsia" w:hAnsiTheme="minorHAnsi" w:cstheme="minorBidi"/>
          <w:b w:val="0"/>
          <w:noProof/>
          <w:sz w:val="22"/>
          <w:lang w:val="en-AU" w:eastAsia="en-AU"/>
        </w:rPr>
        <w:tab/>
      </w:r>
      <w:r>
        <w:rPr>
          <w:noProof/>
        </w:rPr>
        <w:t>Successful grant applications</w:t>
      </w:r>
      <w:r>
        <w:rPr>
          <w:noProof/>
        </w:rPr>
        <w:tab/>
      </w:r>
      <w:r>
        <w:rPr>
          <w:noProof/>
        </w:rPr>
        <w:fldChar w:fldCharType="begin"/>
      </w:r>
      <w:r>
        <w:rPr>
          <w:noProof/>
        </w:rPr>
        <w:instrText xml:space="preserve"> PAGEREF _Toc3559246 \h </w:instrText>
      </w:r>
      <w:r>
        <w:rPr>
          <w:noProof/>
        </w:rPr>
      </w:r>
      <w:r>
        <w:rPr>
          <w:noProof/>
        </w:rPr>
        <w:fldChar w:fldCharType="separate"/>
      </w:r>
      <w:r w:rsidR="003F7079">
        <w:rPr>
          <w:noProof/>
        </w:rPr>
        <w:t>17</w:t>
      </w:r>
      <w:r>
        <w:rPr>
          <w:noProof/>
        </w:rPr>
        <w:fldChar w:fldCharType="end"/>
      </w:r>
    </w:p>
    <w:p w14:paraId="13A0A0F1" w14:textId="2ED8ED96"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_Toc3559247 \h </w:instrText>
      </w:r>
      <w:r>
        <w:rPr>
          <w:noProof/>
        </w:rPr>
      </w:r>
      <w:r>
        <w:rPr>
          <w:noProof/>
        </w:rPr>
        <w:fldChar w:fldCharType="separate"/>
      </w:r>
      <w:r w:rsidR="003F7079">
        <w:rPr>
          <w:noProof/>
        </w:rPr>
        <w:t>17</w:t>
      </w:r>
      <w:r>
        <w:rPr>
          <w:noProof/>
        </w:rPr>
        <w:fldChar w:fldCharType="end"/>
      </w:r>
    </w:p>
    <w:p w14:paraId="144AF454" w14:textId="72CFBFCE"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Commonwealth Child Safe Framework</w:t>
      </w:r>
      <w:r>
        <w:rPr>
          <w:noProof/>
        </w:rPr>
        <w:tab/>
      </w:r>
      <w:r>
        <w:rPr>
          <w:noProof/>
        </w:rPr>
        <w:fldChar w:fldCharType="begin"/>
      </w:r>
      <w:r>
        <w:rPr>
          <w:noProof/>
        </w:rPr>
        <w:instrText xml:space="preserve"> PAGEREF _Toc3559248 \h </w:instrText>
      </w:r>
      <w:r>
        <w:rPr>
          <w:noProof/>
        </w:rPr>
      </w:r>
      <w:r>
        <w:rPr>
          <w:noProof/>
        </w:rPr>
        <w:fldChar w:fldCharType="separate"/>
      </w:r>
      <w:r w:rsidR="003F7079">
        <w:rPr>
          <w:noProof/>
        </w:rPr>
        <w:t>18</w:t>
      </w:r>
      <w:r>
        <w:rPr>
          <w:noProof/>
        </w:rPr>
        <w:fldChar w:fldCharType="end"/>
      </w:r>
    </w:p>
    <w:p w14:paraId="1A8BE587" w14:textId="01977E36"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Multicultural Access and Equity</w:t>
      </w:r>
      <w:r>
        <w:rPr>
          <w:noProof/>
        </w:rPr>
        <w:tab/>
      </w:r>
      <w:r>
        <w:rPr>
          <w:noProof/>
        </w:rPr>
        <w:fldChar w:fldCharType="begin"/>
      </w:r>
      <w:r>
        <w:rPr>
          <w:noProof/>
        </w:rPr>
        <w:instrText xml:space="preserve"> PAGEREF _Toc3559249 \h </w:instrText>
      </w:r>
      <w:r>
        <w:rPr>
          <w:noProof/>
        </w:rPr>
      </w:r>
      <w:r>
        <w:rPr>
          <w:noProof/>
        </w:rPr>
        <w:fldChar w:fldCharType="separate"/>
      </w:r>
      <w:r w:rsidR="003F7079">
        <w:rPr>
          <w:noProof/>
        </w:rPr>
        <w:t>18</w:t>
      </w:r>
      <w:r>
        <w:rPr>
          <w:noProof/>
        </w:rPr>
        <w:fldChar w:fldCharType="end"/>
      </w:r>
    </w:p>
    <w:p w14:paraId="03F12990" w14:textId="214DBC2E"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10.4</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_Toc3559250 \h </w:instrText>
      </w:r>
      <w:r>
        <w:rPr>
          <w:noProof/>
        </w:rPr>
      </w:r>
      <w:r>
        <w:rPr>
          <w:noProof/>
        </w:rPr>
        <w:fldChar w:fldCharType="separate"/>
      </w:r>
      <w:r w:rsidR="003F7079">
        <w:rPr>
          <w:noProof/>
        </w:rPr>
        <w:t>19</w:t>
      </w:r>
      <w:r>
        <w:rPr>
          <w:noProof/>
        </w:rPr>
        <w:fldChar w:fldCharType="end"/>
      </w:r>
    </w:p>
    <w:p w14:paraId="55D431A8" w14:textId="291975B7"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10.5</w:t>
      </w:r>
      <w:r>
        <w:rPr>
          <w:rFonts w:asciiTheme="minorHAnsi" w:eastAsiaTheme="minorEastAsia" w:hAnsiTheme="minorHAnsi" w:cstheme="minorBidi"/>
          <w:noProof/>
          <w:sz w:val="22"/>
          <w:lang w:val="en-AU" w:eastAsia="en-AU"/>
        </w:rPr>
        <w:tab/>
      </w:r>
      <w:r>
        <w:rPr>
          <w:noProof/>
        </w:rPr>
        <w:t>Grants payments and GST</w:t>
      </w:r>
      <w:r>
        <w:rPr>
          <w:noProof/>
        </w:rPr>
        <w:tab/>
      </w:r>
      <w:r>
        <w:rPr>
          <w:noProof/>
        </w:rPr>
        <w:fldChar w:fldCharType="begin"/>
      </w:r>
      <w:r>
        <w:rPr>
          <w:noProof/>
        </w:rPr>
        <w:instrText xml:space="preserve"> PAGEREF _Toc3559251 \h </w:instrText>
      </w:r>
      <w:r>
        <w:rPr>
          <w:noProof/>
        </w:rPr>
      </w:r>
      <w:r>
        <w:rPr>
          <w:noProof/>
        </w:rPr>
        <w:fldChar w:fldCharType="separate"/>
      </w:r>
      <w:r w:rsidR="003F7079">
        <w:rPr>
          <w:noProof/>
        </w:rPr>
        <w:t>19</w:t>
      </w:r>
      <w:r>
        <w:rPr>
          <w:noProof/>
        </w:rPr>
        <w:fldChar w:fldCharType="end"/>
      </w:r>
    </w:p>
    <w:p w14:paraId="4881EAA6" w14:textId="4EB8C3BF" w:rsidR="007568B1" w:rsidRDefault="007568B1" w:rsidP="007568B1">
      <w:pPr>
        <w:pStyle w:val="TOC2"/>
        <w:rPr>
          <w:rFonts w:asciiTheme="minorHAnsi" w:eastAsiaTheme="minorEastAsia" w:hAnsiTheme="minorHAnsi" w:cstheme="minorBidi"/>
          <w:b w:val="0"/>
          <w:noProof/>
          <w:sz w:val="22"/>
          <w:lang w:val="en-AU" w:eastAsia="en-AU"/>
        </w:rPr>
      </w:pPr>
      <w:r>
        <w:rPr>
          <w:noProof/>
        </w:rPr>
        <w:t>11.</w:t>
      </w:r>
      <w:r>
        <w:rPr>
          <w:rFonts w:asciiTheme="minorHAnsi" w:eastAsiaTheme="minorEastAsia" w:hAnsiTheme="minorHAnsi" w:cstheme="minorBidi"/>
          <w:b w:val="0"/>
          <w:noProof/>
          <w:sz w:val="22"/>
          <w:lang w:val="en-AU" w:eastAsia="en-AU"/>
        </w:rPr>
        <w:tab/>
      </w:r>
      <w:r>
        <w:rPr>
          <w:noProof/>
        </w:rPr>
        <w:t>Announcement of grants</w:t>
      </w:r>
      <w:r>
        <w:rPr>
          <w:noProof/>
        </w:rPr>
        <w:tab/>
      </w:r>
      <w:r>
        <w:rPr>
          <w:noProof/>
        </w:rPr>
        <w:fldChar w:fldCharType="begin"/>
      </w:r>
      <w:r>
        <w:rPr>
          <w:noProof/>
        </w:rPr>
        <w:instrText xml:space="preserve"> PAGEREF _Toc3559252 \h </w:instrText>
      </w:r>
      <w:r>
        <w:rPr>
          <w:noProof/>
        </w:rPr>
      </w:r>
      <w:r>
        <w:rPr>
          <w:noProof/>
        </w:rPr>
        <w:fldChar w:fldCharType="separate"/>
      </w:r>
      <w:r w:rsidR="003F7079">
        <w:rPr>
          <w:noProof/>
        </w:rPr>
        <w:t>19</w:t>
      </w:r>
      <w:r>
        <w:rPr>
          <w:noProof/>
        </w:rPr>
        <w:fldChar w:fldCharType="end"/>
      </w:r>
    </w:p>
    <w:p w14:paraId="3B13BC5E" w14:textId="539AC475" w:rsidR="007568B1" w:rsidRDefault="007568B1" w:rsidP="007568B1">
      <w:pPr>
        <w:pStyle w:val="TOC2"/>
        <w:rPr>
          <w:rFonts w:asciiTheme="minorHAnsi" w:eastAsiaTheme="minorEastAsia" w:hAnsiTheme="minorHAnsi" w:cstheme="minorBidi"/>
          <w:b w:val="0"/>
          <w:noProof/>
          <w:sz w:val="22"/>
          <w:lang w:val="en-AU" w:eastAsia="en-AU"/>
        </w:rPr>
      </w:pPr>
      <w:r>
        <w:rPr>
          <w:noProof/>
        </w:rPr>
        <w:t>12.</w:t>
      </w:r>
      <w:r>
        <w:rPr>
          <w:rFonts w:asciiTheme="minorHAnsi" w:eastAsiaTheme="minorEastAsia" w:hAnsiTheme="minorHAnsi" w:cstheme="minorBidi"/>
          <w:b w:val="0"/>
          <w:noProof/>
          <w:sz w:val="22"/>
          <w:lang w:val="en-AU" w:eastAsia="en-AU"/>
        </w:rPr>
        <w:tab/>
      </w:r>
      <w:r>
        <w:rPr>
          <w:noProof/>
        </w:rPr>
        <w:t>How we monitor your grant activity</w:t>
      </w:r>
      <w:r>
        <w:rPr>
          <w:noProof/>
        </w:rPr>
        <w:tab/>
      </w:r>
      <w:r>
        <w:rPr>
          <w:noProof/>
        </w:rPr>
        <w:fldChar w:fldCharType="begin"/>
      </w:r>
      <w:r>
        <w:rPr>
          <w:noProof/>
        </w:rPr>
        <w:instrText xml:space="preserve"> PAGEREF _Toc3559253 \h </w:instrText>
      </w:r>
      <w:r>
        <w:rPr>
          <w:noProof/>
        </w:rPr>
      </w:r>
      <w:r>
        <w:rPr>
          <w:noProof/>
        </w:rPr>
        <w:fldChar w:fldCharType="separate"/>
      </w:r>
      <w:r w:rsidR="003F7079">
        <w:rPr>
          <w:noProof/>
        </w:rPr>
        <w:t>19</w:t>
      </w:r>
      <w:r>
        <w:rPr>
          <w:noProof/>
        </w:rPr>
        <w:fldChar w:fldCharType="end"/>
      </w:r>
    </w:p>
    <w:p w14:paraId="7F2E48B9" w14:textId="1EF530F5"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_Toc3559254 \h </w:instrText>
      </w:r>
      <w:r>
        <w:rPr>
          <w:noProof/>
        </w:rPr>
      </w:r>
      <w:r>
        <w:rPr>
          <w:noProof/>
        </w:rPr>
        <w:fldChar w:fldCharType="separate"/>
      </w:r>
      <w:r w:rsidR="003F7079">
        <w:rPr>
          <w:noProof/>
        </w:rPr>
        <w:t>19</w:t>
      </w:r>
      <w:r>
        <w:rPr>
          <w:noProof/>
        </w:rPr>
        <w:fldChar w:fldCharType="end"/>
      </w:r>
    </w:p>
    <w:p w14:paraId="2DA8D499" w14:textId="75F7E463"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_Toc3559255 \h </w:instrText>
      </w:r>
      <w:r>
        <w:rPr>
          <w:noProof/>
        </w:rPr>
      </w:r>
      <w:r>
        <w:rPr>
          <w:noProof/>
        </w:rPr>
        <w:fldChar w:fldCharType="separate"/>
      </w:r>
      <w:r w:rsidR="003F7079">
        <w:rPr>
          <w:noProof/>
        </w:rPr>
        <w:t>19</w:t>
      </w:r>
      <w:r>
        <w:rPr>
          <w:noProof/>
        </w:rPr>
        <w:fldChar w:fldCharType="end"/>
      </w:r>
    </w:p>
    <w:p w14:paraId="40F0C0EE" w14:textId="51636DFA"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Financial declaration</w:t>
      </w:r>
      <w:r>
        <w:rPr>
          <w:noProof/>
        </w:rPr>
        <w:tab/>
      </w:r>
      <w:r>
        <w:rPr>
          <w:noProof/>
        </w:rPr>
        <w:fldChar w:fldCharType="begin"/>
      </w:r>
      <w:r>
        <w:rPr>
          <w:noProof/>
        </w:rPr>
        <w:instrText xml:space="preserve"> PAGEREF _Toc3559256 \h </w:instrText>
      </w:r>
      <w:r>
        <w:rPr>
          <w:noProof/>
        </w:rPr>
      </w:r>
      <w:r>
        <w:rPr>
          <w:noProof/>
        </w:rPr>
        <w:fldChar w:fldCharType="separate"/>
      </w:r>
      <w:r w:rsidR="003F7079">
        <w:rPr>
          <w:noProof/>
        </w:rPr>
        <w:t>20</w:t>
      </w:r>
      <w:r>
        <w:rPr>
          <w:noProof/>
        </w:rPr>
        <w:fldChar w:fldCharType="end"/>
      </w:r>
    </w:p>
    <w:p w14:paraId="6F265202" w14:textId="154430AA"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_Toc3559257 \h </w:instrText>
      </w:r>
      <w:r>
        <w:rPr>
          <w:noProof/>
        </w:rPr>
      </w:r>
      <w:r>
        <w:rPr>
          <w:noProof/>
        </w:rPr>
        <w:fldChar w:fldCharType="separate"/>
      </w:r>
      <w:r w:rsidR="003F7079">
        <w:rPr>
          <w:noProof/>
        </w:rPr>
        <w:t>21</w:t>
      </w:r>
      <w:r>
        <w:rPr>
          <w:noProof/>
        </w:rPr>
        <w:fldChar w:fldCharType="end"/>
      </w:r>
    </w:p>
    <w:p w14:paraId="2C2517FB" w14:textId="7F4DB96D"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lastRenderedPageBreak/>
        <w:t>12.5</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_Toc3559258 \h </w:instrText>
      </w:r>
      <w:r>
        <w:rPr>
          <w:noProof/>
        </w:rPr>
      </w:r>
      <w:r>
        <w:rPr>
          <w:noProof/>
        </w:rPr>
        <w:fldChar w:fldCharType="separate"/>
      </w:r>
      <w:r w:rsidR="003F7079">
        <w:rPr>
          <w:noProof/>
        </w:rPr>
        <w:t>21</w:t>
      </w:r>
      <w:r>
        <w:rPr>
          <w:noProof/>
        </w:rPr>
        <w:fldChar w:fldCharType="end"/>
      </w:r>
    </w:p>
    <w:p w14:paraId="2615B866" w14:textId="2D431E41"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12.6</w:t>
      </w:r>
      <w:r>
        <w:rPr>
          <w:rFonts w:asciiTheme="minorHAnsi" w:eastAsiaTheme="minorEastAsia" w:hAnsiTheme="minorHAnsi" w:cstheme="minorBidi"/>
          <w:noProof/>
          <w:sz w:val="22"/>
          <w:lang w:val="en-AU" w:eastAsia="en-AU"/>
        </w:rPr>
        <w:tab/>
      </w:r>
      <w:r>
        <w:rPr>
          <w:noProof/>
        </w:rPr>
        <w:t>Record keeping</w:t>
      </w:r>
      <w:r>
        <w:rPr>
          <w:noProof/>
        </w:rPr>
        <w:tab/>
      </w:r>
      <w:r>
        <w:rPr>
          <w:noProof/>
        </w:rPr>
        <w:fldChar w:fldCharType="begin"/>
      </w:r>
      <w:r>
        <w:rPr>
          <w:noProof/>
        </w:rPr>
        <w:instrText xml:space="preserve"> PAGEREF _Toc3559259 \h </w:instrText>
      </w:r>
      <w:r>
        <w:rPr>
          <w:noProof/>
        </w:rPr>
      </w:r>
      <w:r>
        <w:rPr>
          <w:noProof/>
        </w:rPr>
        <w:fldChar w:fldCharType="separate"/>
      </w:r>
      <w:r w:rsidR="003F7079">
        <w:rPr>
          <w:noProof/>
        </w:rPr>
        <w:t>21</w:t>
      </w:r>
      <w:r>
        <w:rPr>
          <w:noProof/>
        </w:rPr>
        <w:fldChar w:fldCharType="end"/>
      </w:r>
    </w:p>
    <w:p w14:paraId="2A4FEE15" w14:textId="431A5965"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12.7</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_Toc3559260 \h </w:instrText>
      </w:r>
      <w:r>
        <w:rPr>
          <w:noProof/>
        </w:rPr>
      </w:r>
      <w:r>
        <w:rPr>
          <w:noProof/>
        </w:rPr>
        <w:fldChar w:fldCharType="separate"/>
      </w:r>
      <w:r w:rsidR="003F7079">
        <w:rPr>
          <w:noProof/>
        </w:rPr>
        <w:t>21</w:t>
      </w:r>
      <w:r>
        <w:rPr>
          <w:noProof/>
        </w:rPr>
        <w:fldChar w:fldCharType="end"/>
      </w:r>
    </w:p>
    <w:p w14:paraId="576D6AFA" w14:textId="2489290F"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12.8</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_Toc3559261 \h </w:instrText>
      </w:r>
      <w:r>
        <w:rPr>
          <w:noProof/>
        </w:rPr>
      </w:r>
      <w:r>
        <w:rPr>
          <w:noProof/>
        </w:rPr>
        <w:fldChar w:fldCharType="separate"/>
      </w:r>
      <w:r w:rsidR="003F7079">
        <w:rPr>
          <w:noProof/>
        </w:rPr>
        <w:t>21</w:t>
      </w:r>
      <w:r>
        <w:rPr>
          <w:noProof/>
        </w:rPr>
        <w:fldChar w:fldCharType="end"/>
      </w:r>
    </w:p>
    <w:p w14:paraId="1BADE060" w14:textId="356E8382" w:rsidR="007568B1" w:rsidRDefault="007568B1" w:rsidP="007568B1">
      <w:pPr>
        <w:pStyle w:val="TOC2"/>
        <w:rPr>
          <w:rFonts w:asciiTheme="minorHAnsi" w:eastAsiaTheme="minorEastAsia" w:hAnsiTheme="minorHAnsi" w:cstheme="minorBidi"/>
          <w:b w:val="0"/>
          <w:noProof/>
          <w:sz w:val="22"/>
          <w:lang w:val="en-AU" w:eastAsia="en-AU"/>
        </w:rPr>
      </w:pPr>
      <w:r>
        <w:rPr>
          <w:noProof/>
        </w:rPr>
        <w:t>13.</w:t>
      </w:r>
      <w:r>
        <w:rPr>
          <w:rFonts w:asciiTheme="minorHAnsi" w:eastAsiaTheme="minorEastAsia" w:hAnsiTheme="minorHAnsi" w:cstheme="minorBidi"/>
          <w:b w:val="0"/>
          <w:noProof/>
          <w:sz w:val="22"/>
          <w:lang w:val="en-AU" w:eastAsia="en-AU"/>
        </w:rPr>
        <w:tab/>
      </w:r>
      <w:r>
        <w:rPr>
          <w:noProof/>
        </w:rPr>
        <w:t>Probity</w:t>
      </w:r>
      <w:r>
        <w:rPr>
          <w:noProof/>
        </w:rPr>
        <w:tab/>
      </w:r>
      <w:r>
        <w:rPr>
          <w:noProof/>
        </w:rPr>
        <w:fldChar w:fldCharType="begin"/>
      </w:r>
      <w:r>
        <w:rPr>
          <w:noProof/>
        </w:rPr>
        <w:instrText xml:space="preserve"> PAGEREF _Toc3559262 \h </w:instrText>
      </w:r>
      <w:r>
        <w:rPr>
          <w:noProof/>
        </w:rPr>
      </w:r>
      <w:r>
        <w:rPr>
          <w:noProof/>
        </w:rPr>
        <w:fldChar w:fldCharType="separate"/>
      </w:r>
      <w:r w:rsidR="003F7079">
        <w:rPr>
          <w:noProof/>
        </w:rPr>
        <w:t>21</w:t>
      </w:r>
      <w:r>
        <w:rPr>
          <w:noProof/>
        </w:rPr>
        <w:fldChar w:fldCharType="end"/>
      </w:r>
    </w:p>
    <w:p w14:paraId="78857766" w14:textId="06674233"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_Toc3559263 \h </w:instrText>
      </w:r>
      <w:r>
        <w:rPr>
          <w:noProof/>
        </w:rPr>
      </w:r>
      <w:r>
        <w:rPr>
          <w:noProof/>
        </w:rPr>
        <w:fldChar w:fldCharType="separate"/>
      </w:r>
      <w:r w:rsidR="003F7079">
        <w:rPr>
          <w:noProof/>
        </w:rPr>
        <w:t>21</w:t>
      </w:r>
      <w:r>
        <w:rPr>
          <w:noProof/>
        </w:rPr>
        <w:fldChar w:fldCharType="end"/>
      </w:r>
    </w:p>
    <w:p w14:paraId="33426A8F" w14:textId="7A392068"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_Toc3559264 \h </w:instrText>
      </w:r>
      <w:r>
        <w:rPr>
          <w:noProof/>
        </w:rPr>
      </w:r>
      <w:r>
        <w:rPr>
          <w:noProof/>
        </w:rPr>
        <w:fldChar w:fldCharType="separate"/>
      </w:r>
      <w:r w:rsidR="003F7079">
        <w:rPr>
          <w:noProof/>
        </w:rPr>
        <w:t>22</w:t>
      </w:r>
      <w:r>
        <w:rPr>
          <w:noProof/>
        </w:rPr>
        <w:fldChar w:fldCharType="end"/>
      </w:r>
    </w:p>
    <w:p w14:paraId="15FEB603" w14:textId="3683126A"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_Toc3559265 \h </w:instrText>
      </w:r>
      <w:r>
        <w:rPr>
          <w:noProof/>
        </w:rPr>
      </w:r>
      <w:r>
        <w:rPr>
          <w:noProof/>
        </w:rPr>
        <w:fldChar w:fldCharType="separate"/>
      </w:r>
      <w:r w:rsidR="003F7079">
        <w:rPr>
          <w:noProof/>
        </w:rPr>
        <w:t>22</w:t>
      </w:r>
      <w:r>
        <w:rPr>
          <w:noProof/>
        </w:rPr>
        <w:fldChar w:fldCharType="end"/>
      </w:r>
    </w:p>
    <w:p w14:paraId="67993E32" w14:textId="375AD95E"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_Toc3559266 \h </w:instrText>
      </w:r>
      <w:r>
        <w:rPr>
          <w:noProof/>
        </w:rPr>
      </w:r>
      <w:r>
        <w:rPr>
          <w:noProof/>
        </w:rPr>
        <w:fldChar w:fldCharType="separate"/>
      </w:r>
      <w:r w:rsidR="003F7079">
        <w:rPr>
          <w:noProof/>
        </w:rPr>
        <w:t>23</w:t>
      </w:r>
      <w:r>
        <w:rPr>
          <w:noProof/>
        </w:rPr>
        <w:fldChar w:fldCharType="end"/>
      </w:r>
    </w:p>
    <w:p w14:paraId="7CF3EB56" w14:textId="61BCFE11" w:rsidR="007568B1" w:rsidRDefault="007568B1" w:rsidP="007568B1">
      <w:pPr>
        <w:pStyle w:val="TOC3"/>
        <w:tabs>
          <w:tab w:val="left" w:pos="1077"/>
        </w:tabs>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_Toc3559267 \h </w:instrText>
      </w:r>
      <w:r>
        <w:rPr>
          <w:noProof/>
        </w:rPr>
      </w:r>
      <w:r>
        <w:rPr>
          <w:noProof/>
        </w:rPr>
        <w:fldChar w:fldCharType="separate"/>
      </w:r>
      <w:r w:rsidR="003F7079">
        <w:rPr>
          <w:noProof/>
        </w:rPr>
        <w:t>24</w:t>
      </w:r>
      <w:r>
        <w:rPr>
          <w:noProof/>
        </w:rPr>
        <w:fldChar w:fldCharType="end"/>
      </w:r>
    </w:p>
    <w:p w14:paraId="34984704" w14:textId="7FCFA5D4" w:rsidR="007568B1" w:rsidRDefault="007568B1" w:rsidP="007568B1">
      <w:pPr>
        <w:pStyle w:val="TOC2"/>
        <w:rPr>
          <w:rFonts w:asciiTheme="minorHAnsi" w:eastAsiaTheme="minorEastAsia" w:hAnsiTheme="minorHAnsi" w:cstheme="minorBidi"/>
          <w:b w:val="0"/>
          <w:noProof/>
          <w:sz w:val="22"/>
          <w:lang w:val="en-AU" w:eastAsia="en-AU"/>
        </w:rPr>
      </w:pPr>
      <w:r>
        <w:rPr>
          <w:noProof/>
        </w:rPr>
        <w:t>14.</w:t>
      </w:r>
      <w:r>
        <w:rPr>
          <w:rFonts w:asciiTheme="minorHAnsi" w:eastAsiaTheme="minorEastAsia" w:hAnsiTheme="minorHAnsi" w:cstheme="minorBidi"/>
          <w:b w:val="0"/>
          <w:noProof/>
          <w:sz w:val="22"/>
          <w:lang w:val="en-AU" w:eastAsia="en-AU"/>
        </w:rPr>
        <w:tab/>
      </w:r>
      <w:r>
        <w:rPr>
          <w:noProof/>
        </w:rPr>
        <w:t>Glossary</w:t>
      </w:r>
      <w:r>
        <w:rPr>
          <w:noProof/>
        </w:rPr>
        <w:tab/>
      </w:r>
      <w:r>
        <w:rPr>
          <w:noProof/>
        </w:rPr>
        <w:fldChar w:fldCharType="begin"/>
      </w:r>
      <w:r>
        <w:rPr>
          <w:noProof/>
        </w:rPr>
        <w:instrText xml:space="preserve"> PAGEREF _Toc3559268 \h </w:instrText>
      </w:r>
      <w:r>
        <w:rPr>
          <w:noProof/>
        </w:rPr>
      </w:r>
      <w:r>
        <w:rPr>
          <w:noProof/>
        </w:rPr>
        <w:fldChar w:fldCharType="separate"/>
      </w:r>
      <w:r w:rsidR="003F7079">
        <w:rPr>
          <w:noProof/>
        </w:rPr>
        <w:t>25</w:t>
      </w:r>
      <w:r>
        <w:rPr>
          <w:noProof/>
        </w:rPr>
        <w:fldChar w:fldCharType="end"/>
      </w:r>
    </w:p>
    <w:p w14:paraId="50E93932" w14:textId="60F1D9C7" w:rsidR="007568B1" w:rsidRDefault="007568B1" w:rsidP="007568B1">
      <w:pPr>
        <w:pStyle w:val="TOC2"/>
        <w:rPr>
          <w:rFonts w:asciiTheme="minorHAnsi" w:eastAsiaTheme="minorEastAsia" w:hAnsiTheme="minorHAnsi" w:cstheme="minorBidi"/>
          <w:b w:val="0"/>
          <w:noProof/>
          <w:sz w:val="22"/>
          <w:lang w:val="en-AU" w:eastAsia="en-AU"/>
        </w:rPr>
      </w:pPr>
      <w:r>
        <w:rPr>
          <w:noProof/>
        </w:rPr>
        <w:t>Appendix A.</w:t>
      </w:r>
      <w:r>
        <w:rPr>
          <w:noProof/>
        </w:rPr>
        <w:tab/>
      </w:r>
      <w:r>
        <w:rPr>
          <w:noProof/>
        </w:rPr>
        <w:fldChar w:fldCharType="begin"/>
      </w:r>
      <w:r>
        <w:rPr>
          <w:noProof/>
        </w:rPr>
        <w:instrText xml:space="preserve"> PAGEREF _Toc3559269 \h </w:instrText>
      </w:r>
      <w:r>
        <w:rPr>
          <w:noProof/>
        </w:rPr>
      </w:r>
      <w:r>
        <w:rPr>
          <w:noProof/>
        </w:rPr>
        <w:fldChar w:fldCharType="separate"/>
      </w:r>
      <w:r w:rsidR="003F7079">
        <w:rPr>
          <w:noProof/>
        </w:rPr>
        <w:t>28</w:t>
      </w:r>
      <w:r>
        <w:rPr>
          <w:noProof/>
        </w:rPr>
        <w:fldChar w:fldCharType="end"/>
      </w:r>
    </w:p>
    <w:p w14:paraId="1E441DB7" w14:textId="665A2BA9" w:rsidR="007568B1" w:rsidRDefault="007568B1" w:rsidP="007568B1">
      <w:pPr>
        <w:pStyle w:val="TOC2"/>
        <w:rPr>
          <w:rFonts w:asciiTheme="minorHAnsi" w:eastAsiaTheme="minorEastAsia" w:hAnsiTheme="minorHAnsi" w:cstheme="minorBidi"/>
          <w:b w:val="0"/>
          <w:noProof/>
          <w:sz w:val="22"/>
          <w:lang w:val="en-AU" w:eastAsia="en-AU"/>
        </w:rPr>
      </w:pPr>
      <w:r>
        <w:rPr>
          <w:noProof/>
        </w:rPr>
        <w:t>Appendix B</w:t>
      </w:r>
      <w:r>
        <w:rPr>
          <w:noProof/>
        </w:rPr>
        <w:tab/>
      </w:r>
      <w:r>
        <w:rPr>
          <w:noProof/>
        </w:rPr>
        <w:fldChar w:fldCharType="begin"/>
      </w:r>
      <w:r>
        <w:rPr>
          <w:noProof/>
        </w:rPr>
        <w:instrText xml:space="preserve"> PAGEREF _Toc3559270 \h </w:instrText>
      </w:r>
      <w:r>
        <w:rPr>
          <w:noProof/>
        </w:rPr>
      </w:r>
      <w:r>
        <w:rPr>
          <w:noProof/>
        </w:rPr>
        <w:fldChar w:fldCharType="separate"/>
      </w:r>
      <w:r w:rsidR="003F7079">
        <w:rPr>
          <w:noProof/>
        </w:rPr>
        <w:t>31</w:t>
      </w:r>
      <w:r>
        <w:rPr>
          <w:noProof/>
        </w:rPr>
        <w:fldChar w:fldCharType="end"/>
      </w:r>
    </w:p>
    <w:p w14:paraId="3634B432" w14:textId="2A181E56" w:rsidR="007568B1" w:rsidRDefault="007568B1" w:rsidP="007568B1">
      <w:pPr>
        <w:pStyle w:val="TOC2"/>
        <w:rPr>
          <w:rFonts w:asciiTheme="minorHAnsi" w:eastAsiaTheme="minorEastAsia" w:hAnsiTheme="minorHAnsi" w:cstheme="minorBidi"/>
          <w:b w:val="0"/>
          <w:noProof/>
          <w:sz w:val="22"/>
          <w:lang w:val="en-AU" w:eastAsia="en-AU"/>
        </w:rPr>
      </w:pPr>
      <w:r>
        <w:rPr>
          <w:noProof/>
        </w:rPr>
        <w:t>Appendix C</w:t>
      </w:r>
      <w:r>
        <w:rPr>
          <w:noProof/>
        </w:rPr>
        <w:tab/>
      </w:r>
      <w:r>
        <w:rPr>
          <w:noProof/>
        </w:rPr>
        <w:fldChar w:fldCharType="begin"/>
      </w:r>
      <w:r>
        <w:rPr>
          <w:noProof/>
        </w:rPr>
        <w:instrText xml:space="preserve"> PAGEREF _Toc3559271 \h </w:instrText>
      </w:r>
      <w:r>
        <w:rPr>
          <w:noProof/>
        </w:rPr>
      </w:r>
      <w:r>
        <w:rPr>
          <w:noProof/>
        </w:rPr>
        <w:fldChar w:fldCharType="separate"/>
      </w:r>
      <w:r w:rsidR="003F7079">
        <w:rPr>
          <w:noProof/>
        </w:rPr>
        <w:t>34</w:t>
      </w:r>
      <w:r>
        <w:rPr>
          <w:noProof/>
        </w:rPr>
        <w:fldChar w:fldCharType="end"/>
      </w:r>
    </w:p>
    <w:p w14:paraId="1EF1BD47" w14:textId="7FAA6F89" w:rsidR="007568B1" w:rsidRDefault="007568B1" w:rsidP="007568B1">
      <w:pPr>
        <w:pStyle w:val="TOC2"/>
        <w:rPr>
          <w:rFonts w:asciiTheme="minorHAnsi" w:eastAsiaTheme="minorEastAsia" w:hAnsiTheme="minorHAnsi" w:cstheme="minorBidi"/>
          <w:b w:val="0"/>
          <w:noProof/>
          <w:sz w:val="22"/>
          <w:lang w:val="en-AU" w:eastAsia="en-AU"/>
        </w:rPr>
      </w:pPr>
      <w:r>
        <w:rPr>
          <w:noProof/>
        </w:rPr>
        <w:t>Appendix D</w:t>
      </w:r>
      <w:r>
        <w:rPr>
          <w:noProof/>
        </w:rPr>
        <w:tab/>
      </w:r>
      <w:r>
        <w:rPr>
          <w:noProof/>
        </w:rPr>
        <w:fldChar w:fldCharType="begin"/>
      </w:r>
      <w:r>
        <w:rPr>
          <w:noProof/>
        </w:rPr>
        <w:instrText xml:space="preserve"> PAGEREF _Toc3559272 \h </w:instrText>
      </w:r>
      <w:r>
        <w:rPr>
          <w:noProof/>
        </w:rPr>
      </w:r>
      <w:r>
        <w:rPr>
          <w:noProof/>
        </w:rPr>
        <w:fldChar w:fldCharType="separate"/>
      </w:r>
      <w:r w:rsidR="003F7079">
        <w:rPr>
          <w:noProof/>
        </w:rPr>
        <w:t>36</w:t>
      </w:r>
      <w:r>
        <w:rPr>
          <w:noProof/>
        </w:rPr>
        <w:fldChar w:fldCharType="end"/>
      </w:r>
    </w:p>
    <w:p w14:paraId="3AF721D6" w14:textId="4FDE2ED8" w:rsidR="007568B1" w:rsidRDefault="007568B1" w:rsidP="007568B1">
      <w:pPr>
        <w:pStyle w:val="TOC2"/>
        <w:rPr>
          <w:rFonts w:asciiTheme="minorHAnsi" w:eastAsiaTheme="minorEastAsia" w:hAnsiTheme="minorHAnsi" w:cstheme="minorBidi"/>
          <w:b w:val="0"/>
          <w:noProof/>
          <w:sz w:val="22"/>
          <w:lang w:val="en-AU" w:eastAsia="en-AU"/>
        </w:rPr>
      </w:pPr>
      <w:r>
        <w:rPr>
          <w:noProof/>
        </w:rPr>
        <w:t>Appendix E</w:t>
      </w:r>
      <w:r>
        <w:rPr>
          <w:noProof/>
        </w:rPr>
        <w:tab/>
      </w:r>
      <w:r>
        <w:rPr>
          <w:noProof/>
        </w:rPr>
        <w:fldChar w:fldCharType="begin"/>
      </w:r>
      <w:r>
        <w:rPr>
          <w:noProof/>
        </w:rPr>
        <w:instrText xml:space="preserve"> PAGEREF _Toc3559273 \h </w:instrText>
      </w:r>
      <w:r>
        <w:rPr>
          <w:noProof/>
        </w:rPr>
      </w:r>
      <w:r>
        <w:rPr>
          <w:noProof/>
        </w:rPr>
        <w:fldChar w:fldCharType="separate"/>
      </w:r>
      <w:r w:rsidR="003F7079">
        <w:rPr>
          <w:noProof/>
        </w:rPr>
        <w:t>38</w:t>
      </w:r>
      <w:r>
        <w:rPr>
          <w:noProof/>
        </w:rPr>
        <w:fldChar w:fldCharType="end"/>
      </w:r>
    </w:p>
    <w:p w14:paraId="35D9EECD" w14:textId="77777777" w:rsidR="007568B1" w:rsidRDefault="007568B1" w:rsidP="007568B1">
      <w:pPr>
        <w:sectPr w:rsidR="007568B1" w:rsidSect="00CA3DD9">
          <w:headerReference w:type="default" r:id="rId14"/>
          <w:footerReference w:type="default" r:id="rId15"/>
          <w:headerReference w:type="first" r:id="rId16"/>
          <w:pgSz w:w="11907" w:h="16840" w:code="9"/>
          <w:pgMar w:top="2034" w:right="1418" w:bottom="1276" w:left="1701" w:header="709" w:footer="709" w:gutter="0"/>
          <w:cols w:space="720"/>
          <w:titlePg/>
          <w:docGrid w:linePitch="360"/>
        </w:sectPr>
      </w:pPr>
      <w:r>
        <w:rPr>
          <w:rFonts w:eastAsia="Calibri"/>
          <w:szCs w:val="28"/>
          <w:lang w:val="en-US"/>
        </w:rPr>
        <w:fldChar w:fldCharType="end"/>
      </w:r>
    </w:p>
    <w:p w14:paraId="04AB0312" w14:textId="77777777" w:rsidR="007568B1" w:rsidRPr="00D27CE2" w:rsidRDefault="007568B1" w:rsidP="00C342EE">
      <w:pPr>
        <w:keepNext/>
        <w:numPr>
          <w:ilvl w:val="0"/>
          <w:numId w:val="19"/>
        </w:numPr>
        <w:spacing w:before="240"/>
        <w:ind w:left="1134" w:hanging="1134"/>
        <w:outlineLvl w:val="1"/>
        <w:rPr>
          <w:rFonts w:cstheme="minorHAnsi"/>
          <w:bCs/>
          <w:iCs/>
          <w:color w:val="264F90"/>
          <w:sz w:val="32"/>
          <w:szCs w:val="32"/>
        </w:rPr>
      </w:pPr>
      <w:bookmarkStart w:id="0" w:name="_[Program_name]:_[Grant"/>
      <w:bookmarkStart w:id="1" w:name="_Toc533170605"/>
      <w:bookmarkStart w:id="2" w:name="_Toc467773950"/>
      <w:bookmarkStart w:id="3" w:name="_Toc535936930"/>
      <w:bookmarkEnd w:id="0"/>
      <w:r w:rsidRPr="00D27CE2">
        <w:rPr>
          <w:rFonts w:cstheme="minorHAnsi"/>
          <w:bCs/>
          <w:iCs/>
          <w:color w:val="264F90"/>
          <w:sz w:val="32"/>
          <w:szCs w:val="32"/>
        </w:rPr>
        <w:lastRenderedPageBreak/>
        <w:t>Settlement Engagement and Transition Support (SETS): Client Services Processes</w:t>
      </w:r>
      <w:bookmarkEnd w:id="1"/>
      <w:bookmarkEnd w:id="2"/>
      <w:bookmarkEnd w:id="3"/>
    </w:p>
    <w:p w14:paraId="2FA17FCA" w14:textId="77777777" w:rsidR="007568B1" w:rsidRDefault="007568B1" w:rsidP="007568B1">
      <w:pPr>
        <w:pBdr>
          <w:top w:val="single" w:sz="4" w:space="1" w:color="auto"/>
          <w:left w:val="single" w:sz="4" w:space="4" w:color="auto"/>
          <w:bottom w:val="single" w:sz="4" w:space="1" w:color="auto"/>
          <w:right w:val="single" w:sz="4" w:space="4" w:color="auto"/>
        </w:pBdr>
        <w:spacing w:after="0"/>
        <w:jc w:val="center"/>
        <w:rPr>
          <w:b/>
        </w:rPr>
      </w:pPr>
      <w:r w:rsidRPr="00F40BDA">
        <w:rPr>
          <w:b/>
        </w:rPr>
        <w:t xml:space="preserve">The </w:t>
      </w:r>
      <w:r w:rsidRPr="009F45BC">
        <w:rPr>
          <w:b/>
        </w:rPr>
        <w:t>Settlement Engagement and Transition Support</w:t>
      </w:r>
      <w:r>
        <w:rPr>
          <w:b/>
        </w:rPr>
        <w:t xml:space="preserve"> (SETS) program </w:t>
      </w:r>
      <w:r w:rsidRPr="00F40BDA">
        <w:rPr>
          <w:b/>
        </w:rPr>
        <w:t>is</w:t>
      </w:r>
      <w:r>
        <w:rPr>
          <w:b/>
        </w:rPr>
        <w:t xml:space="preserve"> </w:t>
      </w:r>
      <w:r w:rsidRPr="00F40BDA">
        <w:rPr>
          <w:b/>
        </w:rPr>
        <w:t xml:space="preserve">designed to </w:t>
      </w:r>
      <w:r>
        <w:rPr>
          <w:b/>
        </w:rPr>
        <w:t>achieve</w:t>
      </w:r>
      <w:r w:rsidRPr="00F40BDA">
        <w:rPr>
          <w:b/>
        </w:rPr>
        <w:t xml:space="preserve"> </w:t>
      </w:r>
      <w:r>
        <w:rPr>
          <w:b/>
        </w:rPr>
        <w:t>Australian Government</w:t>
      </w:r>
      <w:r w:rsidRPr="00F40BDA">
        <w:rPr>
          <w:b/>
        </w:rPr>
        <w:t xml:space="preserve"> </w:t>
      </w:r>
      <w:r>
        <w:rPr>
          <w:b/>
        </w:rPr>
        <w:t>objectives</w:t>
      </w:r>
      <w:r w:rsidRPr="00F40BDA">
        <w:rPr>
          <w:b/>
        </w:rPr>
        <w:t xml:space="preserve"> </w:t>
      </w:r>
    </w:p>
    <w:p w14:paraId="61B02F57" w14:textId="77777777" w:rsidR="007568B1" w:rsidRDefault="007568B1" w:rsidP="007568B1">
      <w:pPr>
        <w:pBdr>
          <w:top w:val="single" w:sz="4" w:space="1" w:color="auto"/>
          <w:left w:val="single" w:sz="4" w:space="4" w:color="auto"/>
          <w:bottom w:val="single" w:sz="4" w:space="1" w:color="auto"/>
          <w:right w:val="single" w:sz="4" w:space="4" w:color="auto"/>
        </w:pBdr>
        <w:spacing w:before="0" w:after="0" w:line="240" w:lineRule="auto"/>
        <w:jc w:val="center"/>
      </w:pPr>
      <w:r>
        <w:t>This grant opportunity i</w:t>
      </w:r>
      <w:r w:rsidRPr="00D164B1">
        <w:t xml:space="preserve">s part of the above </w:t>
      </w:r>
      <w:r>
        <w:t>grant</w:t>
      </w:r>
      <w:r w:rsidRPr="00D164B1">
        <w:t xml:space="preserve"> </w:t>
      </w:r>
      <w:r>
        <w:t>p</w:t>
      </w:r>
      <w:r w:rsidRPr="00D164B1">
        <w:t xml:space="preserve">rogram which contributes to </w:t>
      </w:r>
      <w:r>
        <w:t>Department of Social Services</w:t>
      </w:r>
      <w:r w:rsidRPr="00D164B1">
        <w:t xml:space="preserve"> Outcome </w:t>
      </w:r>
      <w:r>
        <w:t>2.1: Families and Communities.</w:t>
      </w:r>
      <w:r w:rsidRPr="00D164B1">
        <w:t xml:space="preserve"> The </w:t>
      </w:r>
      <w:r>
        <w:t>Department of Social Services works with stakeholders to plan and design the grant program according to the</w:t>
      </w:r>
    </w:p>
    <w:p w14:paraId="3F14F6F8" w14:textId="77777777" w:rsidR="007568B1" w:rsidRPr="00FA5A51" w:rsidRDefault="007568B1" w:rsidP="007568B1">
      <w:pPr>
        <w:pBdr>
          <w:top w:val="single" w:sz="4" w:space="1" w:color="auto"/>
          <w:left w:val="single" w:sz="4" w:space="4" w:color="auto"/>
          <w:bottom w:val="single" w:sz="4" w:space="1" w:color="auto"/>
          <w:right w:val="single" w:sz="4" w:space="4" w:color="auto"/>
        </w:pBdr>
        <w:spacing w:before="0" w:after="0" w:line="240" w:lineRule="auto"/>
        <w:jc w:val="center"/>
      </w:pPr>
      <w:r>
        <w:t xml:space="preserve"> </w:t>
      </w:r>
      <w:hyperlink r:id="rId17" w:history="1">
        <w:r w:rsidRPr="006F145A">
          <w:rPr>
            <w:rStyle w:val="Hyperlink"/>
            <w:i/>
          </w:rPr>
          <w:t xml:space="preserve">Commonwealth </w:t>
        </w:r>
        <w:r>
          <w:rPr>
            <w:rStyle w:val="Hyperlink"/>
            <w:i/>
          </w:rPr>
          <w:t>Grant</w:t>
        </w:r>
        <w:r w:rsidRPr="006F145A">
          <w:rPr>
            <w:rStyle w:val="Hyperlink"/>
            <w:i/>
          </w:rPr>
          <w:t>s Rules and Guidelines</w:t>
        </w:r>
        <w:r>
          <w:rPr>
            <w:rStyle w:val="Hyperlink"/>
            <w:i/>
          </w:rPr>
          <w:t xml:space="preserve"> 2017</w:t>
        </w:r>
        <w:r w:rsidRPr="00B359CF">
          <w:rPr>
            <w:rStyle w:val="Hyperlink"/>
            <w:i/>
          </w:rPr>
          <w:t xml:space="preserve"> (CGRGs)</w:t>
        </w:r>
        <w:r w:rsidRPr="006F145A">
          <w:rPr>
            <w:rStyle w:val="Hyperlink"/>
            <w:i/>
          </w:rPr>
          <w:t>.</w:t>
        </w:r>
      </w:hyperlink>
    </w:p>
    <w:p w14:paraId="2253642F" w14:textId="77777777" w:rsidR="007568B1" w:rsidRPr="00F40BDA" w:rsidRDefault="007568B1" w:rsidP="007568B1">
      <w:pPr>
        <w:pBdr>
          <w:top w:val="single" w:sz="4" w:space="1" w:color="auto"/>
          <w:left w:val="single" w:sz="4" w:space="4" w:color="auto"/>
          <w:bottom w:val="single" w:sz="4" w:space="1" w:color="auto"/>
          <w:right w:val="single" w:sz="4" w:space="4" w:color="auto"/>
        </w:pBdr>
        <w:spacing w:before="0" w:after="0" w:line="240" w:lineRule="auto"/>
        <w:jc w:val="center"/>
        <w:rPr>
          <w:rFonts w:ascii="Wingdings" w:hAnsi="Wingdings"/>
        </w:rPr>
      </w:pPr>
      <w:r w:rsidRPr="00F40BDA">
        <w:rPr>
          <w:rFonts w:ascii="Wingdings" w:hAnsi="Wingdings"/>
        </w:rPr>
        <w:t></w:t>
      </w:r>
    </w:p>
    <w:p w14:paraId="74371B9D" w14:textId="77777777" w:rsidR="007568B1" w:rsidRDefault="007568B1" w:rsidP="007568B1">
      <w:pPr>
        <w:pBdr>
          <w:top w:val="single" w:sz="2" w:space="1" w:color="auto"/>
          <w:left w:val="single" w:sz="2" w:space="4" w:color="auto"/>
          <w:bottom w:val="single" w:sz="2" w:space="0" w:color="auto"/>
          <w:right w:val="single" w:sz="2" w:space="4" w:color="auto"/>
        </w:pBdr>
        <w:spacing w:after="0"/>
        <w:jc w:val="center"/>
        <w:rPr>
          <w:b/>
        </w:rPr>
      </w:pPr>
      <w:r w:rsidRPr="00F40BDA">
        <w:rPr>
          <w:b/>
        </w:rPr>
        <w:t xml:space="preserve">The </w:t>
      </w:r>
      <w:r>
        <w:rPr>
          <w:b/>
        </w:rPr>
        <w:t>grant</w:t>
      </w:r>
      <w:r w:rsidRPr="00F40BDA">
        <w:rPr>
          <w:b/>
        </w:rPr>
        <w:t xml:space="preserve"> opportunity opens</w:t>
      </w:r>
    </w:p>
    <w:p w14:paraId="012B4D40" w14:textId="77777777" w:rsidR="007568B1" w:rsidRDefault="007568B1" w:rsidP="007568B1">
      <w:pPr>
        <w:pBdr>
          <w:top w:val="single" w:sz="2" w:space="1" w:color="auto"/>
          <w:left w:val="single" w:sz="2" w:space="4" w:color="auto"/>
          <w:bottom w:val="single" w:sz="2" w:space="0" w:color="auto"/>
          <w:right w:val="single" w:sz="2" w:space="4" w:color="auto"/>
        </w:pBdr>
        <w:spacing w:after="0"/>
        <w:jc w:val="center"/>
        <w:rPr>
          <w:b/>
        </w:rPr>
      </w:pPr>
      <w:r>
        <w:t>We</w:t>
      </w:r>
      <w:r w:rsidRPr="009E283B">
        <w:t xml:space="preserve"> publish the </w:t>
      </w:r>
      <w:r>
        <w:t>grant</w:t>
      </w:r>
      <w:r w:rsidRPr="009E283B">
        <w:t xml:space="preserve"> guidelines on </w:t>
      </w:r>
      <w:hyperlink r:id="rId18" w:history="1">
        <w:r>
          <w:rPr>
            <w:rStyle w:val="Hyperlink"/>
          </w:rPr>
          <w:t>Grant</w:t>
        </w:r>
        <w:r w:rsidRPr="00452C26">
          <w:rPr>
            <w:rStyle w:val="Hyperlink"/>
          </w:rPr>
          <w:t>Connect</w:t>
        </w:r>
      </w:hyperlink>
      <w:r w:rsidRPr="009E283B">
        <w:t xml:space="preserve"> </w:t>
      </w:r>
      <w:r>
        <w:t xml:space="preserve">and </w:t>
      </w:r>
      <w:hyperlink r:id="rId19" w:history="1">
        <w:r w:rsidRPr="00A7274E">
          <w:rPr>
            <w:rStyle w:val="Hyperlink"/>
          </w:rPr>
          <w:t xml:space="preserve">Community </w:t>
        </w:r>
        <w:r>
          <w:rPr>
            <w:rStyle w:val="Hyperlink"/>
          </w:rPr>
          <w:t>Grant</w:t>
        </w:r>
        <w:r w:rsidRPr="00A7274E">
          <w:rPr>
            <w:rStyle w:val="Hyperlink"/>
          </w:rPr>
          <w:t>s Hub</w:t>
        </w:r>
      </w:hyperlink>
      <w:r>
        <w:t xml:space="preserve"> websites.</w:t>
      </w:r>
    </w:p>
    <w:p w14:paraId="753F436C" w14:textId="77777777" w:rsidR="007568B1" w:rsidRPr="00F40BDA" w:rsidRDefault="007568B1" w:rsidP="007568B1">
      <w:pPr>
        <w:spacing w:after="0"/>
        <w:jc w:val="center"/>
        <w:rPr>
          <w:rFonts w:ascii="Wingdings" w:hAnsi="Wingdings"/>
        </w:rPr>
      </w:pPr>
      <w:r w:rsidRPr="00F40BDA">
        <w:rPr>
          <w:rFonts w:ascii="Wingdings" w:hAnsi="Wingdings"/>
        </w:rPr>
        <w:t></w:t>
      </w:r>
    </w:p>
    <w:p w14:paraId="170A88C3" w14:textId="77777777" w:rsidR="007568B1" w:rsidRDefault="007568B1" w:rsidP="007568B1">
      <w:pPr>
        <w:pBdr>
          <w:top w:val="single" w:sz="2" w:space="1" w:color="auto"/>
          <w:left w:val="single" w:sz="2" w:space="4" w:color="auto"/>
          <w:bottom w:val="single" w:sz="2" w:space="1" w:color="auto"/>
          <w:right w:val="single" w:sz="2" w:space="4" w:color="auto"/>
        </w:pBdr>
        <w:spacing w:after="0"/>
        <w:jc w:val="center"/>
        <w:rPr>
          <w:b/>
        </w:rPr>
      </w:pPr>
      <w:r w:rsidRPr="00947729">
        <w:rPr>
          <w:b/>
        </w:rPr>
        <w:t xml:space="preserve">You complete and submit a </w:t>
      </w:r>
      <w:r>
        <w:rPr>
          <w:b/>
        </w:rPr>
        <w:t>Service Delivery Application Form</w:t>
      </w:r>
    </w:p>
    <w:p w14:paraId="0A2D6FE5" w14:textId="77777777" w:rsidR="007568B1" w:rsidRPr="00EF2B08" w:rsidRDefault="007568B1" w:rsidP="007568B1">
      <w:pPr>
        <w:pBdr>
          <w:top w:val="single" w:sz="2" w:space="1" w:color="auto"/>
          <w:left w:val="single" w:sz="2" w:space="4" w:color="auto"/>
          <w:bottom w:val="single" w:sz="2" w:space="1" w:color="auto"/>
          <w:right w:val="single" w:sz="2" w:space="4" w:color="auto"/>
        </w:pBdr>
        <w:spacing w:after="0"/>
        <w:jc w:val="center"/>
      </w:pPr>
      <w:r w:rsidRPr="00EF2B08">
        <w:t xml:space="preserve">You complete the application form and address all of the eligibility and assessment criteria to be considered for a </w:t>
      </w:r>
      <w:r>
        <w:t>grant</w:t>
      </w:r>
      <w:r w:rsidRPr="00EF2B08">
        <w:t>.</w:t>
      </w:r>
    </w:p>
    <w:p w14:paraId="0C2A4982" w14:textId="77777777" w:rsidR="007568B1" w:rsidRPr="00F40BDA" w:rsidRDefault="007568B1" w:rsidP="007568B1">
      <w:pPr>
        <w:spacing w:after="0"/>
        <w:jc w:val="center"/>
        <w:rPr>
          <w:rFonts w:ascii="Wingdings" w:hAnsi="Wingdings"/>
        </w:rPr>
      </w:pPr>
      <w:r w:rsidRPr="00F40BDA">
        <w:rPr>
          <w:rFonts w:ascii="Wingdings" w:hAnsi="Wingdings"/>
        </w:rPr>
        <w:t></w:t>
      </w:r>
    </w:p>
    <w:p w14:paraId="4D52C53C" w14:textId="77777777" w:rsidR="007568B1" w:rsidRDefault="007568B1" w:rsidP="007568B1">
      <w:pPr>
        <w:pBdr>
          <w:top w:val="single" w:sz="2" w:space="1" w:color="auto"/>
          <w:left w:val="single" w:sz="2" w:space="4" w:color="auto"/>
          <w:bottom w:val="single" w:sz="2" w:space="1" w:color="auto"/>
          <w:right w:val="single" w:sz="2" w:space="4" w:color="auto"/>
        </w:pBdr>
        <w:spacing w:after="0"/>
        <w:jc w:val="center"/>
        <w:rPr>
          <w:bCs/>
        </w:rPr>
      </w:pPr>
      <w:r>
        <w:rPr>
          <w:b/>
        </w:rPr>
        <w:t>We assess all grant</w:t>
      </w:r>
      <w:r w:rsidRPr="00F40BDA">
        <w:rPr>
          <w:b/>
        </w:rPr>
        <w:t xml:space="preserve"> application</w:t>
      </w:r>
      <w:r>
        <w:rPr>
          <w:b/>
        </w:rPr>
        <w:t>s</w:t>
      </w:r>
    </w:p>
    <w:p w14:paraId="7B6573CC" w14:textId="77777777" w:rsidR="007568B1" w:rsidRPr="005E08F7" w:rsidRDefault="007568B1" w:rsidP="007568B1">
      <w:pPr>
        <w:pBdr>
          <w:top w:val="single" w:sz="2" w:space="1" w:color="auto"/>
          <w:left w:val="single" w:sz="2" w:space="4" w:color="auto"/>
          <w:bottom w:val="single" w:sz="2" w:space="1" w:color="auto"/>
          <w:right w:val="single" w:sz="2" w:space="4" w:color="auto"/>
        </w:pBdr>
        <w:spacing w:after="0"/>
        <w:jc w:val="center"/>
      </w:pPr>
      <w:r>
        <w:t xml:space="preserve">We assess the applications against eligibility criteria </w:t>
      </w:r>
      <w:r w:rsidRPr="00EE0C10">
        <w:t>and notify you if you are not eligible.</w:t>
      </w:r>
      <w:r w:rsidRPr="005E08F7">
        <w:t xml:space="preserve"> </w:t>
      </w:r>
      <w:r>
        <w:t>If you are eligible, we</w:t>
      </w:r>
      <w:r w:rsidRPr="005E08F7">
        <w:t xml:space="preserve"> then assess your eligible application against the assessment criteria including an overall consideration of value with money</w:t>
      </w:r>
      <w:r>
        <w:t>.</w:t>
      </w:r>
    </w:p>
    <w:p w14:paraId="7E18539D" w14:textId="77777777" w:rsidR="007568B1" w:rsidRPr="00C659C4" w:rsidRDefault="007568B1" w:rsidP="007568B1">
      <w:pPr>
        <w:spacing w:after="0"/>
        <w:jc w:val="center"/>
        <w:rPr>
          <w:rFonts w:ascii="Wingdings" w:hAnsi="Wingdings"/>
        </w:rPr>
      </w:pPr>
      <w:r w:rsidRPr="00C659C4">
        <w:rPr>
          <w:rFonts w:ascii="Wingdings" w:hAnsi="Wingdings"/>
        </w:rPr>
        <w:t></w:t>
      </w:r>
    </w:p>
    <w:p w14:paraId="064CADA4" w14:textId="77777777" w:rsidR="007568B1" w:rsidRPr="00DB796E" w:rsidRDefault="007568B1" w:rsidP="007568B1">
      <w:pPr>
        <w:pBdr>
          <w:top w:val="single" w:sz="2" w:space="1" w:color="auto"/>
          <w:left w:val="single" w:sz="2" w:space="4" w:color="auto"/>
          <w:bottom w:val="single" w:sz="2" w:space="1" w:color="auto"/>
          <w:right w:val="single" w:sz="2" w:space="4" w:color="auto"/>
        </w:pBdr>
        <w:spacing w:after="0"/>
        <w:jc w:val="center"/>
        <w:rPr>
          <w:b/>
        </w:rPr>
      </w:pPr>
      <w:r>
        <w:rPr>
          <w:b/>
        </w:rPr>
        <w:t xml:space="preserve">We </w:t>
      </w:r>
      <w:r w:rsidRPr="00DB796E">
        <w:rPr>
          <w:b/>
        </w:rPr>
        <w:t xml:space="preserve">make </w:t>
      </w:r>
      <w:r>
        <w:rPr>
          <w:b/>
        </w:rPr>
        <w:t>grant</w:t>
      </w:r>
      <w:r w:rsidRPr="00DB796E">
        <w:rPr>
          <w:b/>
        </w:rPr>
        <w:t xml:space="preserve"> recommendations</w:t>
      </w:r>
    </w:p>
    <w:p w14:paraId="46AE2CF1"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pPr>
      <w:r>
        <w:t xml:space="preserve">We </w:t>
      </w:r>
      <w:r w:rsidRPr="00543A99">
        <w:t>provide advice</w:t>
      </w:r>
      <w:r>
        <w:t>, through the selection advisory panel</w:t>
      </w:r>
      <w:r w:rsidRPr="00C659C4">
        <w:t xml:space="preserve"> to the decision maker on the merits of each application.</w:t>
      </w:r>
    </w:p>
    <w:p w14:paraId="22FEF484" w14:textId="77777777" w:rsidR="007568B1" w:rsidRPr="00C659C4" w:rsidRDefault="007568B1" w:rsidP="007568B1">
      <w:pPr>
        <w:spacing w:after="0"/>
        <w:jc w:val="center"/>
        <w:rPr>
          <w:rFonts w:ascii="Wingdings" w:hAnsi="Wingdings"/>
        </w:rPr>
      </w:pPr>
      <w:r w:rsidRPr="00C659C4">
        <w:rPr>
          <w:rFonts w:ascii="Wingdings" w:hAnsi="Wingdings"/>
        </w:rPr>
        <w:t></w:t>
      </w:r>
    </w:p>
    <w:p w14:paraId="29F73310"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
        </w:rPr>
      </w:pPr>
      <w:r>
        <w:rPr>
          <w:b/>
        </w:rPr>
        <w:t>Grant</w:t>
      </w:r>
      <w:r w:rsidRPr="00C659C4">
        <w:rPr>
          <w:b/>
        </w:rPr>
        <w:t xml:space="preserve"> </w:t>
      </w:r>
      <w:r>
        <w:rPr>
          <w:b/>
        </w:rPr>
        <w:t>d</w:t>
      </w:r>
      <w:r w:rsidRPr="00C659C4">
        <w:rPr>
          <w:b/>
        </w:rPr>
        <w:t>ecisions are made</w:t>
      </w:r>
    </w:p>
    <w:p w14:paraId="0B6EAEC1"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pPr>
      <w:r w:rsidRPr="00C659C4">
        <w:t>The decision maker</w:t>
      </w:r>
      <w:r>
        <w:t xml:space="preserve"> </w:t>
      </w:r>
      <w:r w:rsidRPr="00C659C4">
        <w:t>decides which applications are successful.</w:t>
      </w:r>
    </w:p>
    <w:p w14:paraId="3032CF99" w14:textId="77777777" w:rsidR="007568B1" w:rsidRPr="00C659C4" w:rsidRDefault="007568B1" w:rsidP="007568B1">
      <w:pPr>
        <w:spacing w:after="0"/>
        <w:jc w:val="center"/>
        <w:rPr>
          <w:rFonts w:ascii="Wingdings" w:hAnsi="Wingdings"/>
        </w:rPr>
      </w:pPr>
      <w:r w:rsidRPr="00C659C4">
        <w:rPr>
          <w:rFonts w:ascii="Wingdings" w:hAnsi="Wingdings"/>
        </w:rPr>
        <w:t></w:t>
      </w:r>
    </w:p>
    <w:p w14:paraId="2852DDE0"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
        </w:rPr>
      </w:pPr>
      <w:r>
        <w:rPr>
          <w:b/>
        </w:rPr>
        <w:t>We</w:t>
      </w:r>
      <w:r w:rsidRPr="00C659C4">
        <w:rPr>
          <w:b/>
        </w:rPr>
        <w:t xml:space="preserve"> notify you of the outcome</w:t>
      </w:r>
    </w:p>
    <w:p w14:paraId="0E16A42F"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pPr>
      <w:r>
        <w:t>We</w:t>
      </w:r>
      <w:r>
        <w:rPr>
          <w:color w:val="0070C0"/>
        </w:rPr>
        <w:t xml:space="preserve"> </w:t>
      </w:r>
      <w:r w:rsidRPr="00C659C4">
        <w:t xml:space="preserve">advise you of the outcome of your application. We may not notify unsuccessful applicants until </w:t>
      </w:r>
      <w:r>
        <w:t>grant agreement</w:t>
      </w:r>
      <w:r w:rsidRPr="00C659C4">
        <w:t>s have been executed with successful applicants.</w:t>
      </w:r>
    </w:p>
    <w:p w14:paraId="15A54F55" w14:textId="77777777" w:rsidR="007568B1" w:rsidRPr="00C659C4" w:rsidRDefault="007568B1" w:rsidP="007568B1">
      <w:pPr>
        <w:spacing w:after="0"/>
        <w:jc w:val="center"/>
        <w:rPr>
          <w:rFonts w:ascii="Wingdings" w:hAnsi="Wingdings"/>
        </w:rPr>
      </w:pPr>
      <w:r w:rsidRPr="00C659C4">
        <w:rPr>
          <w:rFonts w:ascii="Wingdings" w:hAnsi="Wingdings"/>
        </w:rPr>
        <w:t></w:t>
      </w:r>
    </w:p>
    <w:p w14:paraId="01E12276"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
        </w:rPr>
      </w:pPr>
      <w:r>
        <w:rPr>
          <w:b/>
        </w:rPr>
        <w:t>We</w:t>
      </w:r>
      <w:r w:rsidRPr="00EE0C10">
        <w:rPr>
          <w:b/>
          <w:color w:val="0070C0"/>
        </w:rPr>
        <w:t xml:space="preserve"> </w:t>
      </w:r>
      <w:r w:rsidRPr="00C659C4">
        <w:rPr>
          <w:b/>
        </w:rPr>
        <w:t xml:space="preserve">enter into a </w:t>
      </w:r>
      <w:r>
        <w:rPr>
          <w:b/>
        </w:rPr>
        <w:t>grant agreement</w:t>
      </w:r>
    </w:p>
    <w:p w14:paraId="34F3AD49"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
          <w:bCs/>
        </w:rPr>
      </w:pPr>
      <w:r>
        <w:t>We</w:t>
      </w:r>
      <w:r w:rsidRPr="00C659C4">
        <w:t xml:space="preserve"> enter into a </w:t>
      </w:r>
      <w:r>
        <w:t>grant agreement</w:t>
      </w:r>
      <w:r w:rsidRPr="00C659C4">
        <w:t xml:space="preserve"> with</w:t>
      </w:r>
      <w:r>
        <w:t xml:space="preserve"> you if successful.</w:t>
      </w:r>
      <w:r w:rsidRPr="00C659C4">
        <w:t xml:space="preserve"> The type of </w:t>
      </w:r>
      <w:r>
        <w:t>grant agreement</w:t>
      </w:r>
      <w:r w:rsidRPr="00C659C4">
        <w:t xml:space="preserve"> is based on the nature</w:t>
      </w:r>
      <w:r>
        <w:t xml:space="preserve"> or complexity</w:t>
      </w:r>
      <w:r w:rsidRPr="00C659C4">
        <w:t xml:space="preserve"> of the </w:t>
      </w:r>
      <w:r>
        <w:t>grant</w:t>
      </w:r>
      <w:r w:rsidRPr="00C659C4">
        <w:t xml:space="preserve"> and</w:t>
      </w:r>
      <w:r>
        <w:t xml:space="preserve"> is</w:t>
      </w:r>
      <w:r w:rsidRPr="00C659C4">
        <w:t xml:space="preserve"> proportional to the risks involved.</w:t>
      </w:r>
    </w:p>
    <w:p w14:paraId="034B87A4" w14:textId="77777777" w:rsidR="007568B1" w:rsidRPr="00C659C4" w:rsidRDefault="007568B1" w:rsidP="007568B1">
      <w:pPr>
        <w:spacing w:after="0"/>
        <w:jc w:val="center"/>
        <w:rPr>
          <w:rFonts w:ascii="Wingdings" w:hAnsi="Wingdings"/>
        </w:rPr>
      </w:pPr>
      <w:r w:rsidRPr="00C659C4">
        <w:rPr>
          <w:rFonts w:ascii="Wingdings" w:hAnsi="Wingdings"/>
        </w:rPr>
        <w:t></w:t>
      </w:r>
    </w:p>
    <w:p w14:paraId="039F58F4"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
          <w:bCs/>
        </w:rPr>
      </w:pPr>
      <w:r w:rsidRPr="00C659C4">
        <w:rPr>
          <w:b/>
        </w:rPr>
        <w:t xml:space="preserve">Delivery of </w:t>
      </w:r>
      <w:r>
        <w:rPr>
          <w:b/>
        </w:rPr>
        <w:t>grant</w:t>
      </w:r>
    </w:p>
    <w:p w14:paraId="132428DD"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Cs/>
        </w:rPr>
      </w:pPr>
      <w:r w:rsidRPr="00C659C4">
        <w:rPr>
          <w:bCs/>
        </w:rPr>
        <w:t xml:space="preserve">You undertake the </w:t>
      </w:r>
      <w:r>
        <w:rPr>
          <w:bCs/>
        </w:rPr>
        <w:t>grant</w:t>
      </w:r>
      <w:r w:rsidRPr="00C659C4">
        <w:rPr>
          <w:bCs/>
        </w:rPr>
        <w:t xml:space="preserve"> activity as set out in your </w:t>
      </w:r>
      <w:r>
        <w:rPr>
          <w:bCs/>
        </w:rPr>
        <w:t>grant agreement</w:t>
      </w:r>
      <w:r w:rsidRPr="00C659C4">
        <w:rPr>
          <w:bCs/>
        </w:rPr>
        <w:t xml:space="preserve">. </w:t>
      </w:r>
      <w:r>
        <w:rPr>
          <w:bCs/>
        </w:rPr>
        <w:t xml:space="preserve">We </w:t>
      </w:r>
      <w:r w:rsidRPr="00C659C4">
        <w:rPr>
          <w:bCs/>
        </w:rPr>
        <w:t xml:space="preserve">manage the </w:t>
      </w:r>
      <w:r>
        <w:rPr>
          <w:bCs/>
        </w:rPr>
        <w:t>grant</w:t>
      </w:r>
      <w:r w:rsidRPr="00C659C4">
        <w:rPr>
          <w:bCs/>
        </w:rPr>
        <w:t xml:space="preserve"> by working with you, monitoring your progress and making payments.</w:t>
      </w:r>
    </w:p>
    <w:p w14:paraId="6D4074CC" w14:textId="77777777" w:rsidR="007568B1" w:rsidRPr="00C659C4" w:rsidRDefault="007568B1" w:rsidP="007568B1">
      <w:pPr>
        <w:spacing w:after="0"/>
        <w:jc w:val="center"/>
        <w:rPr>
          <w:rFonts w:ascii="Wingdings" w:hAnsi="Wingdings"/>
        </w:rPr>
      </w:pPr>
      <w:r w:rsidRPr="00C659C4">
        <w:rPr>
          <w:rFonts w:ascii="Wingdings" w:hAnsi="Wingdings"/>
        </w:rPr>
        <w:t></w:t>
      </w:r>
    </w:p>
    <w:p w14:paraId="5CCDB4D9" w14:textId="77777777" w:rsidR="007568B1" w:rsidRPr="00C659C4" w:rsidRDefault="007568B1" w:rsidP="007568B1">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Evaluation of the </w:t>
      </w:r>
      <w:r>
        <w:rPr>
          <w:b/>
        </w:rPr>
        <w:t>Families and Communities Program: Settlement Engagement and Transition Support program</w:t>
      </w:r>
    </w:p>
    <w:p w14:paraId="5A9FDF4B" w14:textId="77777777" w:rsidR="007568B1" w:rsidRDefault="007568B1" w:rsidP="007568B1">
      <w:pPr>
        <w:pBdr>
          <w:top w:val="single" w:sz="2" w:space="1" w:color="auto"/>
          <w:left w:val="single" w:sz="2" w:space="4" w:color="auto"/>
          <w:bottom w:val="single" w:sz="2" w:space="1" w:color="auto"/>
          <w:right w:val="single" w:sz="2" w:space="4" w:color="auto"/>
        </w:pBdr>
        <w:spacing w:after="0"/>
      </w:pPr>
      <w:r>
        <w:t>We</w:t>
      </w:r>
      <w:r>
        <w:rPr>
          <w:color w:val="0070C0"/>
        </w:rPr>
        <w:t xml:space="preserve"> </w:t>
      </w:r>
      <w:r w:rsidRPr="00C659C4">
        <w:t xml:space="preserve">evaluate </w:t>
      </w:r>
      <w:r>
        <w:t>your</w:t>
      </w:r>
      <w:r w:rsidRPr="00C659C4">
        <w:t xml:space="preserve"> specific </w:t>
      </w:r>
      <w:r>
        <w:t>grant</w:t>
      </w:r>
      <w:r w:rsidRPr="00C659C4">
        <w:t xml:space="preserve"> activity and </w:t>
      </w:r>
      <w:r>
        <w:t>the Settlement Engagement and Transition Support program</w:t>
      </w:r>
      <w:r w:rsidRPr="00C659C4">
        <w:t xml:space="preserve"> as a whole. We base this on information you provide us and that we collect from various sources.</w:t>
      </w:r>
    </w:p>
    <w:p w14:paraId="424620C1" w14:textId="77777777" w:rsidR="007568B1" w:rsidRPr="00181A24" w:rsidRDefault="007568B1" w:rsidP="007568B1">
      <w:pPr>
        <w:pStyle w:val="Heading3"/>
      </w:pPr>
      <w:bookmarkStart w:id="4" w:name="_Toc3559221"/>
      <w:r w:rsidRPr="00181A24">
        <w:lastRenderedPageBreak/>
        <w:t>Introduction</w:t>
      </w:r>
      <w:bookmarkEnd w:id="4"/>
    </w:p>
    <w:p w14:paraId="17636428" w14:textId="77777777" w:rsidR="007568B1" w:rsidRPr="003F536A" w:rsidRDefault="007568B1" w:rsidP="007568B1">
      <w:pPr>
        <w:spacing w:before="120"/>
        <w:rPr>
          <w:rFonts w:cs="Arial"/>
        </w:rPr>
      </w:pPr>
      <w:r w:rsidRPr="003F536A">
        <w:rPr>
          <w:rFonts w:cs="Arial"/>
        </w:rPr>
        <w:t xml:space="preserve">These guidelines contain information for the Settlement Engagement and Transition Support (SETS) – Client services </w:t>
      </w:r>
      <w:r>
        <w:rPr>
          <w:rFonts w:cs="Arial"/>
        </w:rPr>
        <w:t>grant</w:t>
      </w:r>
      <w:r w:rsidRPr="003F536A">
        <w:rPr>
          <w:rFonts w:cs="Arial"/>
        </w:rPr>
        <w:t>s.</w:t>
      </w:r>
    </w:p>
    <w:p w14:paraId="5B06166A" w14:textId="77777777" w:rsidR="007568B1" w:rsidRPr="003F536A" w:rsidRDefault="007568B1" w:rsidP="007568B1">
      <w:pPr>
        <w:spacing w:before="120"/>
        <w:rPr>
          <w:rFonts w:cs="Arial"/>
        </w:rPr>
      </w:pPr>
      <w:r w:rsidRPr="003F536A">
        <w:rPr>
          <w:rFonts w:cs="Arial"/>
        </w:rPr>
        <w:t>You must read these guidelines before filling out an application.</w:t>
      </w:r>
    </w:p>
    <w:p w14:paraId="1396D014" w14:textId="77777777" w:rsidR="007568B1" w:rsidRPr="003F536A" w:rsidRDefault="007568B1" w:rsidP="007568B1">
      <w:pPr>
        <w:spacing w:before="120"/>
        <w:rPr>
          <w:rFonts w:cs="Arial"/>
        </w:rPr>
      </w:pPr>
      <w:r w:rsidRPr="003F536A">
        <w:rPr>
          <w:rFonts w:cs="Arial"/>
        </w:rPr>
        <w:t>This document sets out:</w:t>
      </w:r>
    </w:p>
    <w:p w14:paraId="1BB95480" w14:textId="77777777" w:rsidR="007568B1" w:rsidRPr="003F536A" w:rsidRDefault="007568B1" w:rsidP="007568B1">
      <w:pPr>
        <w:pStyle w:val="ListBullet"/>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 xml:space="preserve">the purpose of the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 xml:space="preserve"> program/</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 xml:space="preserve"> opportunity</w:t>
      </w:r>
    </w:p>
    <w:p w14:paraId="2FEB860C" w14:textId="77777777" w:rsidR="007568B1" w:rsidRPr="003F536A" w:rsidRDefault="007568B1" w:rsidP="007568B1">
      <w:pPr>
        <w:pStyle w:val="ListBullet"/>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the eligibility and assessment criteria</w:t>
      </w:r>
    </w:p>
    <w:p w14:paraId="79824223" w14:textId="77777777" w:rsidR="007568B1" w:rsidRPr="003F536A" w:rsidRDefault="007568B1" w:rsidP="007568B1">
      <w:pPr>
        <w:pStyle w:val="ListBullet"/>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 xml:space="preserve">how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 xml:space="preserve"> applications are considered and selected</w:t>
      </w:r>
    </w:p>
    <w:p w14:paraId="1530395F" w14:textId="77777777" w:rsidR="007568B1" w:rsidRPr="003F536A" w:rsidRDefault="007568B1" w:rsidP="007568B1">
      <w:pPr>
        <w:pStyle w:val="ListBullet"/>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 xml:space="preserve">how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 xml:space="preserve">ees are notified and receive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 xml:space="preserve"> payments</w:t>
      </w:r>
    </w:p>
    <w:p w14:paraId="7615A057" w14:textId="77777777" w:rsidR="007568B1" w:rsidRPr="003F536A" w:rsidRDefault="007568B1" w:rsidP="007568B1">
      <w:pPr>
        <w:pStyle w:val="ListBullet"/>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 xml:space="preserve">how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ees will be monitored and evaluated</w:t>
      </w:r>
    </w:p>
    <w:p w14:paraId="36B5179A" w14:textId="77777777" w:rsidR="007568B1" w:rsidRPr="003F536A" w:rsidRDefault="007568B1" w:rsidP="007568B1">
      <w:pPr>
        <w:pStyle w:val="ListBullet"/>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responsibilities and expectations in relation to the opportunity.</w:t>
      </w:r>
    </w:p>
    <w:p w14:paraId="5C573B4C" w14:textId="77777777" w:rsidR="007568B1" w:rsidRPr="00796798" w:rsidRDefault="007568B1" w:rsidP="007568B1">
      <w:pPr>
        <w:pStyle w:val="ListBullet"/>
        <w:numPr>
          <w:ilvl w:val="0"/>
          <w:numId w:val="0"/>
        </w:numPr>
        <w:spacing w:before="120" w:after="120"/>
        <w:rPr>
          <w:rStyle w:val="highlightedtextChar"/>
          <w:rFonts w:ascii="Arial" w:hAnsi="Arial" w:cs="Arial"/>
          <w:b w:val="0"/>
          <w:color w:val="auto"/>
          <w:sz w:val="20"/>
          <w:szCs w:val="20"/>
        </w:rPr>
      </w:pPr>
      <w:r w:rsidRPr="003F536A">
        <w:rPr>
          <w:rStyle w:val="highlightedtextChar"/>
          <w:rFonts w:ascii="Arial" w:hAnsi="Arial" w:cs="Arial"/>
          <w:b w:val="0"/>
          <w:color w:val="auto"/>
          <w:sz w:val="20"/>
          <w:szCs w:val="20"/>
        </w:rPr>
        <w:t xml:space="preserve">This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 xml:space="preserve"> opportunity and process will be administered by the Community </w:t>
      </w:r>
      <w:r>
        <w:rPr>
          <w:rStyle w:val="highlightedtextChar"/>
          <w:rFonts w:ascii="Arial" w:hAnsi="Arial" w:cs="Arial"/>
          <w:b w:val="0"/>
          <w:color w:val="auto"/>
          <w:sz w:val="20"/>
          <w:szCs w:val="20"/>
        </w:rPr>
        <w:t>Grant</w:t>
      </w:r>
      <w:r w:rsidRPr="003F536A">
        <w:rPr>
          <w:rStyle w:val="highlightedtextChar"/>
          <w:rFonts w:ascii="Arial" w:hAnsi="Arial" w:cs="Arial"/>
          <w:b w:val="0"/>
          <w:color w:val="auto"/>
          <w:sz w:val="20"/>
          <w:szCs w:val="20"/>
        </w:rPr>
        <w:t>s Hub on behalf of the Department of Social Services.</w:t>
      </w:r>
    </w:p>
    <w:p w14:paraId="198AAFF9" w14:textId="77777777" w:rsidR="007568B1" w:rsidRPr="00F40BDA" w:rsidRDefault="007568B1" w:rsidP="007568B1">
      <w:pPr>
        <w:pStyle w:val="Heading2"/>
      </w:pPr>
      <w:bookmarkStart w:id="5" w:name="_Toc3559222"/>
      <w:r>
        <w:t>About the grant program</w:t>
      </w:r>
      <w:bookmarkEnd w:id="5"/>
    </w:p>
    <w:p w14:paraId="788DA35E" w14:textId="77777777" w:rsidR="007568B1" w:rsidRPr="003F536A" w:rsidRDefault="007568B1" w:rsidP="007568B1">
      <w:pPr>
        <w:spacing w:before="120"/>
        <w:rPr>
          <w:rFonts w:cs="Arial"/>
          <w:b/>
        </w:rPr>
      </w:pPr>
      <w:r w:rsidRPr="003F536A">
        <w:rPr>
          <w:rFonts w:cs="Arial"/>
          <w:b/>
        </w:rPr>
        <w:t xml:space="preserve">Settlement Services overview </w:t>
      </w:r>
    </w:p>
    <w:p w14:paraId="6CC14B07" w14:textId="77777777" w:rsidR="007568B1" w:rsidRPr="003F536A" w:rsidRDefault="007568B1" w:rsidP="007568B1">
      <w:pPr>
        <w:keepLines/>
        <w:spacing w:before="120"/>
        <w:rPr>
          <w:rFonts w:cs="Arial"/>
        </w:rPr>
      </w:pPr>
      <w:r w:rsidRPr="003F536A">
        <w:rPr>
          <w:rFonts w:cs="Arial"/>
        </w:rPr>
        <w:t xml:space="preserve">SETS – Client Services is an element of Settlement Services under the </w:t>
      </w:r>
      <w:hyperlink r:id="rId20" w:history="1">
        <w:r w:rsidRPr="003F536A">
          <w:rPr>
            <w:rStyle w:val="Hyperlink"/>
            <w:rFonts w:cs="Arial"/>
            <w:color w:val="17365D" w:themeColor="text2" w:themeShade="BF"/>
          </w:rPr>
          <w:t>Families and Communities Program</w:t>
        </w:r>
      </w:hyperlink>
      <w:r w:rsidRPr="003F536A">
        <w:rPr>
          <w:rFonts w:cs="Arial"/>
        </w:rPr>
        <w:t>. The Families and Communities Program aims to strengthen relationships, improve well</w:t>
      </w:r>
      <w:r w:rsidRPr="003F536A">
        <w:rPr>
          <w:rFonts w:cs="Arial"/>
        </w:rPr>
        <w:noBreakHyphen/>
        <w:t>being of children and young people, reduce the cost of family breakdown, strengthen family and community functioning and help the settlement of mi</w:t>
      </w:r>
      <w:r>
        <w:rPr>
          <w:rFonts w:cs="Arial"/>
        </w:rPr>
        <w:t>grant</w:t>
      </w:r>
      <w:r w:rsidRPr="003F536A">
        <w:rPr>
          <w:rFonts w:cs="Arial"/>
        </w:rPr>
        <w:t>s and humanitarian entrants in the community.</w:t>
      </w:r>
    </w:p>
    <w:p w14:paraId="4E682B60" w14:textId="77777777" w:rsidR="007568B1" w:rsidRPr="003F536A" w:rsidRDefault="007568B1" w:rsidP="007568B1">
      <w:pPr>
        <w:keepLines/>
        <w:spacing w:before="120"/>
        <w:rPr>
          <w:rFonts w:cs="Arial"/>
        </w:rPr>
      </w:pPr>
      <w:r w:rsidRPr="003F536A">
        <w:rPr>
          <w:rStyle w:val="Hyperlink"/>
          <w:rFonts w:cs="Arial"/>
          <w:color w:val="17365D" w:themeColor="text2" w:themeShade="BF"/>
        </w:rPr>
        <w:t>Settlement Services</w:t>
      </w:r>
      <w:r w:rsidRPr="003F536A">
        <w:rPr>
          <w:rFonts w:cs="Arial"/>
        </w:rPr>
        <w:t xml:space="preserve"> provides a comprehensive range of activities that aim to address the needs of refugees, humanitarian entrants and other vulnerable mi</w:t>
      </w:r>
      <w:r>
        <w:rPr>
          <w:rFonts w:cs="Arial"/>
        </w:rPr>
        <w:t>grant</w:t>
      </w:r>
      <w:r w:rsidRPr="003F536A">
        <w:rPr>
          <w:rFonts w:cs="Arial"/>
        </w:rPr>
        <w:t>s by delivering services that assist them to become fully functioning members of society and promote social cohesion and productive diversity within the Australian Community.</w:t>
      </w:r>
    </w:p>
    <w:p w14:paraId="0D54E801" w14:textId="77777777" w:rsidR="007568B1" w:rsidRPr="003F536A" w:rsidRDefault="007568B1" w:rsidP="007568B1">
      <w:pPr>
        <w:spacing w:before="120"/>
        <w:rPr>
          <w:rFonts w:cs="Arial"/>
        </w:rPr>
      </w:pPr>
      <w:r w:rsidRPr="003F536A">
        <w:rPr>
          <w:rFonts w:cs="Arial"/>
        </w:rPr>
        <w:t>Settlement Services consists of multiple components, which are illustrated in the diagram below.</w:t>
      </w:r>
    </w:p>
    <w:p w14:paraId="0D5537F2" w14:textId="340D0D38" w:rsidR="007568B1" w:rsidRDefault="007568B1" w:rsidP="007568B1">
      <w:pPr>
        <w:pStyle w:val="Caption"/>
        <w:keepNext/>
      </w:pPr>
      <w:r>
        <w:rPr>
          <w:rFonts w:cs="Arial"/>
        </w:rPr>
        <w:lastRenderedPageBreak/>
        <w:t xml:space="preserve"> </w:t>
      </w:r>
      <w:r>
        <w:t xml:space="preserve">Figure </w:t>
      </w:r>
      <w:r>
        <w:rPr>
          <w:noProof/>
        </w:rPr>
        <w:fldChar w:fldCharType="begin"/>
      </w:r>
      <w:r>
        <w:rPr>
          <w:noProof/>
        </w:rPr>
        <w:instrText xml:space="preserve"> SEQ Figure \* ARABIC </w:instrText>
      </w:r>
      <w:r>
        <w:rPr>
          <w:noProof/>
        </w:rPr>
        <w:fldChar w:fldCharType="separate"/>
      </w:r>
      <w:r w:rsidR="003F7079">
        <w:rPr>
          <w:noProof/>
        </w:rPr>
        <w:t>1</w:t>
      </w:r>
      <w:r>
        <w:rPr>
          <w:noProof/>
        </w:rPr>
        <w:fldChar w:fldCharType="end"/>
      </w:r>
      <w:r>
        <w:t xml:space="preserve"> Settlement Services from 2019</w:t>
      </w:r>
    </w:p>
    <w:p w14:paraId="195000A1" w14:textId="77777777" w:rsidR="007568B1" w:rsidRDefault="007568B1" w:rsidP="007568B1">
      <w:pPr>
        <w:rPr>
          <w:rFonts w:cstheme="minorHAnsi"/>
        </w:rPr>
      </w:pPr>
      <w:r>
        <w:rPr>
          <w:rFonts w:cstheme="minorHAnsi"/>
          <w:noProof/>
          <w:lang w:eastAsia="en-AU"/>
        </w:rPr>
        <w:drawing>
          <wp:inline distT="0" distB="0" distL="0" distR="0" wp14:anchorId="3E4EE737" wp14:editId="7408FEEC">
            <wp:extent cx="5676265" cy="3821430"/>
            <wp:effectExtent l="0" t="0" r="38735" b="0"/>
            <wp:docPr id="2" name="Diagram 2" descr="Community Services programs under the Families and Communities Outcome Program" title="Community Settlement compon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D34DF6E" w14:textId="77777777" w:rsidR="007568B1" w:rsidRPr="003F536A" w:rsidRDefault="007568B1" w:rsidP="007568B1">
      <w:pPr>
        <w:spacing w:before="120"/>
        <w:rPr>
          <w:rFonts w:cs="Arial"/>
        </w:rPr>
      </w:pPr>
      <w:r w:rsidRPr="003F536A">
        <w:rPr>
          <w:rFonts w:cs="Arial"/>
        </w:rPr>
        <w:t xml:space="preserve">One component of Settlement Services is </w:t>
      </w:r>
      <w:r>
        <w:rPr>
          <w:rFonts w:cs="Arial"/>
        </w:rPr>
        <w:t>grant</w:t>
      </w:r>
      <w:r w:rsidRPr="003F536A">
        <w:rPr>
          <w:rFonts w:cs="Arial"/>
        </w:rPr>
        <w:t>s for Community Settlement. The Settlement Engagement and Transition Support (SETS) program</w:t>
      </w:r>
      <w:r w:rsidRPr="003F536A">
        <w:rPr>
          <w:rFonts w:cs="Arial"/>
          <w:b/>
        </w:rPr>
        <w:t xml:space="preserve"> </w:t>
      </w:r>
      <w:r w:rsidRPr="003F536A">
        <w:rPr>
          <w:rFonts w:cs="Arial"/>
        </w:rPr>
        <w:t xml:space="preserve">is a sub-component of </w:t>
      </w:r>
      <w:r>
        <w:rPr>
          <w:rFonts w:cs="Arial"/>
        </w:rPr>
        <w:t>grant</w:t>
      </w:r>
      <w:r w:rsidRPr="003F536A">
        <w:rPr>
          <w:rFonts w:cs="Arial"/>
        </w:rPr>
        <w:t xml:space="preserve">s for Community Settlement. </w:t>
      </w:r>
    </w:p>
    <w:p w14:paraId="606C489D" w14:textId="77777777" w:rsidR="007568B1" w:rsidRPr="003F536A" w:rsidRDefault="007568B1" w:rsidP="007568B1">
      <w:pPr>
        <w:spacing w:before="120"/>
        <w:rPr>
          <w:rFonts w:cs="Arial"/>
        </w:rPr>
      </w:pPr>
      <w:r w:rsidRPr="003F536A">
        <w:rPr>
          <w:rFonts w:cs="Arial"/>
        </w:rPr>
        <w:t xml:space="preserve">SETS is a key ongoing program in the suite of Settlement Services (previously referred to as the Settlement </w:t>
      </w:r>
      <w:r>
        <w:rPr>
          <w:rFonts w:cs="Arial"/>
        </w:rPr>
        <w:t>Grant</w:t>
      </w:r>
      <w:r w:rsidRPr="003F536A">
        <w:rPr>
          <w:rFonts w:cs="Arial"/>
        </w:rPr>
        <w:t>s Program and/or the Settlement Services Program). It is an effective early intervention program that contributes to humanitarian entrants and other eligible vulnerable mi</w:t>
      </w:r>
      <w:r>
        <w:rPr>
          <w:rFonts w:cs="Arial"/>
        </w:rPr>
        <w:t>grant</w:t>
      </w:r>
      <w:r w:rsidRPr="003F536A">
        <w:rPr>
          <w:rFonts w:cs="Arial"/>
        </w:rPr>
        <w:t xml:space="preserve">s achieving full participation in society as soon as possible, reducing the chance of long-term welfare dependency. For humanitarian entrants, SETS builds upon the foundation services provided </w:t>
      </w:r>
      <w:r w:rsidRPr="003F536A">
        <w:rPr>
          <w:rFonts w:cs="Arial"/>
          <w:color w:val="17365D" w:themeColor="text2" w:themeShade="BF"/>
        </w:rPr>
        <w:t xml:space="preserve">by the </w:t>
      </w:r>
      <w:hyperlink r:id="rId26" w:history="1">
        <w:r w:rsidRPr="003F536A">
          <w:rPr>
            <w:rStyle w:val="Hyperlink"/>
            <w:rFonts w:cs="Arial"/>
          </w:rPr>
          <w:t>Humanitarian Settlement Program</w:t>
        </w:r>
      </w:hyperlink>
      <w:r w:rsidRPr="003F536A">
        <w:rPr>
          <w:rStyle w:val="Hyperlink"/>
          <w:rFonts w:cs="Arial"/>
          <w:color w:val="17365D" w:themeColor="text2" w:themeShade="BF"/>
        </w:rPr>
        <w:t xml:space="preserve"> (HSP)</w:t>
      </w:r>
      <w:r w:rsidRPr="004B553A">
        <w:rPr>
          <w:rStyle w:val="Hyperlink"/>
          <w:rFonts w:cs="Arial"/>
          <w:color w:val="17365D" w:themeColor="text2" w:themeShade="BF"/>
          <w:u w:val="none"/>
        </w:rPr>
        <w:t xml:space="preserve"> </w:t>
      </w:r>
      <w:r w:rsidRPr="003F536A">
        <w:rPr>
          <w:rStyle w:val="Hyperlink"/>
          <w:rFonts w:cs="Arial"/>
          <w:color w:val="auto"/>
          <w:u w:val="none"/>
        </w:rPr>
        <w:t>and is complementary to other mainstream services. Clients are eligible to receive SETS and HSP services simultaneously. SETS and HSP Service Providers should work together to ensure that the services they provide do not duplicate each other and that the client’s settlement needs are addressed holistically</w:t>
      </w:r>
      <w:r>
        <w:rPr>
          <w:rStyle w:val="Hyperlink"/>
          <w:rFonts w:cs="Arial"/>
          <w:color w:val="auto"/>
          <w:u w:val="none"/>
        </w:rPr>
        <w:t>.</w:t>
      </w:r>
    </w:p>
    <w:p w14:paraId="352A9E14" w14:textId="244A3399" w:rsidR="007568B1" w:rsidRPr="003F536A" w:rsidRDefault="007568B1" w:rsidP="007568B1">
      <w:pPr>
        <w:spacing w:before="120"/>
        <w:rPr>
          <w:rFonts w:cs="Arial"/>
        </w:rPr>
      </w:pPr>
      <w:r w:rsidRPr="003F536A">
        <w:rPr>
          <w:rFonts w:cs="Arial"/>
        </w:rPr>
        <w:t>The SETS program consists of two components</w:t>
      </w:r>
      <w:r w:rsidRPr="003F536A">
        <w:rPr>
          <w:rStyle w:val="FootnoteReference"/>
          <w:rFonts w:cs="Arial"/>
        </w:rPr>
        <w:footnoteReference w:id="2"/>
      </w:r>
      <w:r w:rsidR="0087683E">
        <w:rPr>
          <w:rFonts w:cs="Arial"/>
        </w:rPr>
        <w:t>:</w:t>
      </w:r>
    </w:p>
    <w:p w14:paraId="3EFF4673" w14:textId="1C8F7E64" w:rsidR="007568B1" w:rsidRPr="003F536A" w:rsidRDefault="007568B1" w:rsidP="00C342EE">
      <w:pPr>
        <w:pStyle w:val="Bullet1"/>
        <w:numPr>
          <w:ilvl w:val="0"/>
          <w:numId w:val="36"/>
        </w:numPr>
        <w:spacing w:after="120"/>
        <w:rPr>
          <w:rFonts w:ascii="Arial" w:hAnsi="Arial" w:cs="Arial"/>
          <w:sz w:val="20"/>
          <w:szCs w:val="20"/>
        </w:rPr>
      </w:pPr>
      <w:r w:rsidRPr="003F536A">
        <w:rPr>
          <w:rFonts w:ascii="Arial" w:hAnsi="Arial" w:cs="Arial"/>
          <w:sz w:val="20"/>
          <w:szCs w:val="20"/>
        </w:rPr>
        <w:t>SETS - Client Services</w:t>
      </w:r>
    </w:p>
    <w:p w14:paraId="623E73CE" w14:textId="77777777" w:rsidR="007568B1" w:rsidRPr="003F536A" w:rsidRDefault="007568B1" w:rsidP="00C342EE">
      <w:pPr>
        <w:pStyle w:val="Bullet1"/>
        <w:numPr>
          <w:ilvl w:val="0"/>
          <w:numId w:val="36"/>
        </w:numPr>
        <w:spacing w:after="120"/>
        <w:rPr>
          <w:rFonts w:ascii="Arial" w:hAnsi="Arial" w:cs="Arial"/>
          <w:sz w:val="20"/>
          <w:szCs w:val="20"/>
        </w:rPr>
      </w:pPr>
      <w:r w:rsidRPr="003F536A">
        <w:rPr>
          <w:rFonts w:ascii="Arial" w:hAnsi="Arial" w:cs="Arial"/>
          <w:sz w:val="20"/>
          <w:szCs w:val="20"/>
        </w:rPr>
        <w:t>SETS - Community Capacity Building.</w:t>
      </w:r>
    </w:p>
    <w:p w14:paraId="10ED915C"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 xml:space="preserve">These guidelines contain information about SETS - Client Services </w:t>
      </w:r>
      <w:r>
        <w:rPr>
          <w:rFonts w:ascii="Arial" w:hAnsi="Arial" w:cs="Arial"/>
          <w:sz w:val="20"/>
          <w:szCs w:val="20"/>
        </w:rPr>
        <w:t>grant</w:t>
      </w:r>
      <w:r w:rsidRPr="003F536A">
        <w:rPr>
          <w:rFonts w:ascii="Arial" w:hAnsi="Arial" w:cs="Arial"/>
          <w:sz w:val="20"/>
          <w:szCs w:val="20"/>
        </w:rPr>
        <w:t>s.</w:t>
      </w:r>
    </w:p>
    <w:p w14:paraId="04EE4301" w14:textId="77777777" w:rsidR="007568B1" w:rsidRPr="003F536A" w:rsidRDefault="007568B1" w:rsidP="007568B1">
      <w:pPr>
        <w:pStyle w:val="Bullet1"/>
        <w:numPr>
          <w:ilvl w:val="0"/>
          <w:numId w:val="0"/>
        </w:numPr>
        <w:spacing w:after="120"/>
        <w:rPr>
          <w:rFonts w:ascii="Arial" w:hAnsi="Arial" w:cs="Arial"/>
          <w:b/>
          <w:sz w:val="20"/>
          <w:szCs w:val="20"/>
        </w:rPr>
      </w:pPr>
      <w:r w:rsidRPr="003F536A">
        <w:rPr>
          <w:rFonts w:ascii="Arial" w:hAnsi="Arial" w:cs="Arial"/>
          <w:b/>
          <w:sz w:val="20"/>
          <w:szCs w:val="20"/>
        </w:rPr>
        <w:t>Purpose of the SETS program</w:t>
      </w:r>
    </w:p>
    <w:p w14:paraId="438D22E7"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Humanitarian entrants, vulnerable mi</w:t>
      </w:r>
      <w:r>
        <w:rPr>
          <w:rFonts w:ascii="Arial" w:hAnsi="Arial" w:cs="Arial"/>
          <w:sz w:val="20"/>
          <w:szCs w:val="20"/>
        </w:rPr>
        <w:t>grant</w:t>
      </w:r>
      <w:r w:rsidRPr="003F536A">
        <w:rPr>
          <w:rFonts w:ascii="Arial" w:hAnsi="Arial" w:cs="Arial"/>
          <w:sz w:val="20"/>
          <w:szCs w:val="20"/>
        </w:rPr>
        <w:t>s and their communities need to overcome a diverse range of challenges including cultural, personal and structural barriers to social and economic participation in Australia. These individuals have varied pre</w:t>
      </w:r>
      <w:r w:rsidRPr="003F536A">
        <w:rPr>
          <w:rFonts w:ascii="Arial" w:hAnsi="Arial" w:cs="Arial"/>
          <w:sz w:val="20"/>
          <w:szCs w:val="20"/>
        </w:rPr>
        <w:noBreakHyphen/>
        <w:t>arrival life experiences that can include few or no opportunities to participate in education or work, living in refugee camps for significant periods, and experiences of torture and trauma. As mi</w:t>
      </w:r>
      <w:r>
        <w:rPr>
          <w:rFonts w:ascii="Arial" w:hAnsi="Arial" w:cs="Arial"/>
          <w:sz w:val="20"/>
          <w:szCs w:val="20"/>
        </w:rPr>
        <w:t>grant</w:t>
      </w:r>
      <w:r w:rsidRPr="003F536A">
        <w:rPr>
          <w:rFonts w:ascii="Arial" w:hAnsi="Arial" w:cs="Arial"/>
          <w:sz w:val="20"/>
          <w:szCs w:val="20"/>
        </w:rPr>
        <w:t xml:space="preserve">s become orientated, established and </w:t>
      </w:r>
      <w:r w:rsidRPr="003F536A">
        <w:rPr>
          <w:rFonts w:ascii="Arial" w:hAnsi="Arial" w:cs="Arial"/>
          <w:sz w:val="20"/>
          <w:szCs w:val="20"/>
        </w:rPr>
        <w:lastRenderedPageBreak/>
        <w:t>independent in their communities, issues across a continuum of needs can emerge with varied levels of intensity.</w:t>
      </w:r>
    </w:p>
    <w:p w14:paraId="1880D1D6"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Some mi</w:t>
      </w:r>
      <w:r>
        <w:rPr>
          <w:rFonts w:ascii="Arial" w:hAnsi="Arial" w:cs="Arial"/>
          <w:sz w:val="20"/>
          <w:szCs w:val="20"/>
        </w:rPr>
        <w:t>grant</w:t>
      </w:r>
      <w:r w:rsidRPr="003F536A">
        <w:rPr>
          <w:rFonts w:ascii="Arial" w:hAnsi="Arial" w:cs="Arial"/>
          <w:sz w:val="20"/>
          <w:szCs w:val="20"/>
        </w:rPr>
        <w:t>s may require minimal support while others with more complex or multiple issues can benefit from more tailored intervention. Development of knowledge and skills to manage essential settlement needs help mi</w:t>
      </w:r>
      <w:r>
        <w:rPr>
          <w:rFonts w:ascii="Arial" w:hAnsi="Arial" w:cs="Arial"/>
          <w:sz w:val="20"/>
          <w:szCs w:val="20"/>
        </w:rPr>
        <w:t>grant</w:t>
      </w:r>
      <w:r w:rsidRPr="003F536A">
        <w:rPr>
          <w:rFonts w:ascii="Arial" w:hAnsi="Arial" w:cs="Arial"/>
          <w:sz w:val="20"/>
          <w:szCs w:val="20"/>
        </w:rPr>
        <w:t xml:space="preserve">s engage in learning English and establish pathways to employment and/or education. </w:t>
      </w:r>
    </w:p>
    <w:p w14:paraId="20FEB105"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Settlement and ethno-specific organisations play a crucial role in the settlement of newly arrived mi</w:t>
      </w:r>
      <w:r>
        <w:rPr>
          <w:rFonts w:ascii="Arial" w:hAnsi="Arial" w:cs="Arial"/>
          <w:sz w:val="20"/>
          <w:szCs w:val="20"/>
        </w:rPr>
        <w:t>grant</w:t>
      </w:r>
      <w:r w:rsidRPr="003F536A">
        <w:rPr>
          <w:rFonts w:ascii="Arial" w:hAnsi="Arial" w:cs="Arial"/>
          <w:sz w:val="20"/>
          <w:szCs w:val="20"/>
        </w:rPr>
        <w:t>s and refugees. These organisations understand the immediate needs of new arrivals and have ready access to networks through which new arrivals can be identified, contacted and supported. Some relatively new and emerging</w:t>
      </w:r>
      <w:r w:rsidRPr="003F536A">
        <w:rPr>
          <w:rStyle w:val="FootnoteReference"/>
          <w:rFonts w:ascii="Arial" w:hAnsi="Arial" w:cs="Arial"/>
          <w:sz w:val="20"/>
          <w:szCs w:val="20"/>
        </w:rPr>
        <w:footnoteReference w:id="3"/>
      </w:r>
      <w:r w:rsidRPr="003F536A">
        <w:rPr>
          <w:rFonts w:ascii="Arial" w:hAnsi="Arial" w:cs="Arial"/>
          <w:sz w:val="20"/>
          <w:szCs w:val="20"/>
        </w:rPr>
        <w:t xml:space="preserve"> communities may lack capacity or capability to develop information networks and maximise social inclusion and participation. New and emerging communities may need leadership, mentoring and advocacy support to link with mainstream services and to become self-sustaining as soon as possible.</w:t>
      </w:r>
    </w:p>
    <w:p w14:paraId="65D9E215"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The SETS program aims to meet the diverse needs of humanitarian entrants and other vulnerable mi</w:t>
      </w:r>
      <w:r>
        <w:rPr>
          <w:rFonts w:ascii="Arial" w:hAnsi="Arial" w:cs="Arial"/>
          <w:sz w:val="20"/>
          <w:szCs w:val="20"/>
        </w:rPr>
        <w:t>grant</w:t>
      </w:r>
      <w:r w:rsidRPr="003F536A">
        <w:rPr>
          <w:rFonts w:ascii="Arial" w:hAnsi="Arial" w:cs="Arial"/>
          <w:sz w:val="20"/>
          <w:szCs w:val="20"/>
        </w:rPr>
        <w:t>s. It does this by facilitating collaboration and building partnerships across settlement services and other relevant organisations, and by fostering innovative support services.</w:t>
      </w:r>
    </w:p>
    <w:p w14:paraId="72C33497" w14:textId="77777777" w:rsidR="007568B1" w:rsidRPr="003F536A" w:rsidRDefault="007568B1" w:rsidP="007568B1">
      <w:pPr>
        <w:pStyle w:val="Bullet1"/>
        <w:keepNext/>
        <w:numPr>
          <w:ilvl w:val="0"/>
          <w:numId w:val="0"/>
        </w:numPr>
        <w:spacing w:after="120"/>
        <w:rPr>
          <w:rFonts w:ascii="Arial" w:hAnsi="Arial" w:cs="Arial"/>
          <w:b/>
          <w:sz w:val="20"/>
          <w:szCs w:val="20"/>
        </w:rPr>
      </w:pPr>
      <w:r w:rsidRPr="003F536A">
        <w:rPr>
          <w:rFonts w:ascii="Arial" w:hAnsi="Arial" w:cs="Arial"/>
          <w:b/>
          <w:sz w:val="20"/>
          <w:szCs w:val="20"/>
        </w:rPr>
        <w:t>Policy objectives</w:t>
      </w:r>
    </w:p>
    <w:p w14:paraId="45C57373"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The objective of SETS is to equip and empower eligible clients and communities to address their identified settlement needs in order to improve social participation, economic well-being, independence, personal well-being and community connectedness more broadly.</w:t>
      </w:r>
    </w:p>
    <w:p w14:paraId="42EAE083"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SETS will engage with services and agencies to build partnerships and referral channels that assist clients to engage and remain on pathways to achieve long-term outcomes of self-reliance and equitable participation in Australian society. SETS service providers must make connections and linkages with other complementary services, particularly with the Department of Education and Training’s Adult Mi</w:t>
      </w:r>
      <w:r>
        <w:rPr>
          <w:rFonts w:ascii="Arial" w:hAnsi="Arial" w:cs="Arial"/>
          <w:sz w:val="20"/>
          <w:szCs w:val="20"/>
        </w:rPr>
        <w:t>grant</w:t>
      </w:r>
      <w:r w:rsidRPr="003F536A">
        <w:rPr>
          <w:rFonts w:ascii="Arial" w:hAnsi="Arial" w:cs="Arial"/>
          <w:sz w:val="20"/>
          <w:szCs w:val="20"/>
        </w:rPr>
        <w:t xml:space="preserve"> English Program (AMEP) and the Department of Jobs and Small Business’ jobactive services. </w:t>
      </w:r>
    </w:p>
    <w:p w14:paraId="47B3E458" w14:textId="77777777" w:rsidR="007568B1" w:rsidRPr="003F536A" w:rsidRDefault="007568B1" w:rsidP="007568B1">
      <w:pPr>
        <w:pStyle w:val="Bullet1"/>
        <w:numPr>
          <w:ilvl w:val="0"/>
          <w:numId w:val="0"/>
        </w:numPr>
        <w:spacing w:after="120"/>
        <w:rPr>
          <w:rFonts w:ascii="Arial" w:eastAsia="Times New Roman" w:hAnsi="Arial" w:cs="Arial"/>
          <w:color w:val="000000"/>
          <w:sz w:val="20"/>
          <w:szCs w:val="20"/>
        </w:rPr>
      </w:pPr>
      <w:r w:rsidRPr="003F536A">
        <w:rPr>
          <w:rFonts w:ascii="Arial" w:hAnsi="Arial" w:cs="Arial"/>
          <w:sz w:val="20"/>
          <w:szCs w:val="20"/>
        </w:rPr>
        <w:t xml:space="preserve">SETS service providers will be expected to participate in a Community of Practice (COP) arrangement. Effective collaboration between service providers is an essential element of the SETS program. </w:t>
      </w:r>
      <w:r w:rsidRPr="003F536A">
        <w:rPr>
          <w:rFonts w:ascii="Arial" w:eastAsia="Times New Roman" w:hAnsi="Arial" w:cs="Arial"/>
          <w:color w:val="000000"/>
          <w:sz w:val="20"/>
          <w:szCs w:val="20"/>
        </w:rPr>
        <w:t>COP forums are designed to share good practice, and provide opportunities to learn from shared experiences. It is likely that the SETS COP will be thematic or location based. Topics for discussion will be determined by service providers but could include for example innovation and best practice. It is envisaged that the cost to service providers for attending forums will be minimised through the use of video/teleconference arrangements, however it is likely to involve one annual face-to-face forum.</w:t>
      </w:r>
    </w:p>
    <w:p w14:paraId="5B4BED3E"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 xml:space="preserve">The expected outcomes of SETS - Client Services </w:t>
      </w:r>
      <w:r>
        <w:rPr>
          <w:rFonts w:ascii="Arial" w:hAnsi="Arial" w:cs="Arial"/>
          <w:sz w:val="20"/>
          <w:szCs w:val="20"/>
        </w:rPr>
        <w:t>grant</w:t>
      </w:r>
      <w:r w:rsidRPr="003F536A">
        <w:rPr>
          <w:rFonts w:ascii="Arial" w:hAnsi="Arial" w:cs="Arial"/>
          <w:sz w:val="20"/>
          <w:szCs w:val="20"/>
        </w:rPr>
        <w:t xml:space="preserve">s are provided below. </w:t>
      </w:r>
    </w:p>
    <w:p w14:paraId="0AD9453C" w14:textId="77777777" w:rsidR="007568B1" w:rsidRPr="003F536A" w:rsidRDefault="007568B1" w:rsidP="007568B1">
      <w:pPr>
        <w:pStyle w:val="Bullet1"/>
        <w:numPr>
          <w:ilvl w:val="0"/>
          <w:numId w:val="0"/>
        </w:numPr>
        <w:spacing w:after="120"/>
        <w:rPr>
          <w:rFonts w:ascii="Arial" w:hAnsi="Arial" w:cs="Arial"/>
          <w:sz w:val="20"/>
          <w:szCs w:val="20"/>
        </w:rPr>
      </w:pPr>
      <w:r w:rsidRPr="003F536A">
        <w:rPr>
          <w:rFonts w:ascii="Arial" w:hAnsi="Arial" w:cs="Arial"/>
          <w:sz w:val="20"/>
          <w:szCs w:val="20"/>
        </w:rPr>
        <w:t>Providers funded under SETS must ensure that clients are given the opportunity to communicate their needs in a language of their choice, including through professional interpreters where necessary.</w:t>
      </w:r>
    </w:p>
    <w:p w14:paraId="4C41BCE1" w14:textId="77777777" w:rsidR="007568B1" w:rsidRPr="003F536A" w:rsidRDefault="007568B1" w:rsidP="007568B1">
      <w:pPr>
        <w:spacing w:before="120"/>
        <w:rPr>
          <w:rFonts w:cs="Arial"/>
        </w:rPr>
      </w:pPr>
      <w:r w:rsidRPr="003F536A">
        <w:rPr>
          <w:rFonts w:cs="Arial"/>
        </w:rPr>
        <w:t xml:space="preserve">The Community </w:t>
      </w:r>
      <w:r>
        <w:rPr>
          <w:rFonts w:cs="Arial"/>
        </w:rPr>
        <w:t>Grant</w:t>
      </w:r>
      <w:r w:rsidRPr="003F536A">
        <w:rPr>
          <w:rFonts w:cs="Arial"/>
        </w:rPr>
        <w:t>s Hub administers the program according to the</w:t>
      </w:r>
      <w:r w:rsidRPr="003F536A">
        <w:rPr>
          <w:rStyle w:val="Hyperlink"/>
          <w:rFonts w:cs="Arial"/>
          <w:i/>
        </w:rPr>
        <w:t xml:space="preserve"> </w:t>
      </w:r>
      <w:hyperlink r:id="rId27" w:history="1">
        <w:r w:rsidRPr="003F536A">
          <w:rPr>
            <w:rStyle w:val="Hyperlink"/>
            <w:rFonts w:cs="Arial"/>
            <w:i/>
          </w:rPr>
          <w:t xml:space="preserve">Commonwealth </w:t>
        </w:r>
        <w:r>
          <w:rPr>
            <w:rStyle w:val="Hyperlink"/>
            <w:rFonts w:cs="Arial"/>
            <w:i/>
          </w:rPr>
          <w:t>Grant</w:t>
        </w:r>
        <w:r w:rsidRPr="003F536A">
          <w:rPr>
            <w:rStyle w:val="Hyperlink"/>
            <w:rFonts w:cs="Arial"/>
            <w:i/>
          </w:rPr>
          <w:t>s Rules and Guidelines</w:t>
        </w:r>
      </w:hyperlink>
      <w:r w:rsidRPr="003F536A">
        <w:rPr>
          <w:rStyle w:val="Hyperlink"/>
          <w:rFonts w:cs="Arial"/>
          <w:i/>
        </w:rPr>
        <w:t xml:space="preserve"> 2017</w:t>
      </w:r>
      <w:r w:rsidRPr="003F536A">
        <w:rPr>
          <w:rFonts w:cs="Arial"/>
        </w:rPr>
        <w:t xml:space="preserve"> (CGRGs)</w:t>
      </w:r>
      <w:r w:rsidRPr="003F536A">
        <w:rPr>
          <w:rFonts w:cs="Arial"/>
          <w:i/>
        </w:rPr>
        <w:t>.</w:t>
      </w:r>
    </w:p>
    <w:p w14:paraId="10F7D26B" w14:textId="77777777" w:rsidR="007568B1" w:rsidRPr="000553F2" w:rsidRDefault="007568B1" w:rsidP="007568B1">
      <w:pPr>
        <w:pStyle w:val="Heading3"/>
      </w:pPr>
      <w:bookmarkStart w:id="6" w:name="_Ref485199086"/>
      <w:bookmarkStart w:id="7" w:name="_Ref485200398"/>
      <w:bookmarkStart w:id="8" w:name="_Toc3559223"/>
      <w:r>
        <w:t>About the SETS – Client Services grant o</w:t>
      </w:r>
      <w:r w:rsidRPr="0024525E">
        <w:t>pportunity</w:t>
      </w:r>
      <w:bookmarkEnd w:id="6"/>
      <w:bookmarkEnd w:id="7"/>
      <w:bookmarkEnd w:id="8"/>
    </w:p>
    <w:p w14:paraId="0E4FFBB6" w14:textId="77777777" w:rsidR="007568B1" w:rsidRPr="00FE1F2D" w:rsidRDefault="007568B1" w:rsidP="007568B1">
      <w:pPr>
        <w:spacing w:before="120"/>
        <w:rPr>
          <w:rFonts w:eastAsia="Arial" w:cs="Arial"/>
        </w:rPr>
      </w:pPr>
      <w:r w:rsidRPr="00FE1F2D">
        <w:rPr>
          <w:rFonts w:eastAsia="Arial" w:cs="Arial"/>
        </w:rPr>
        <w:t xml:space="preserve">The SETS – Client Services </w:t>
      </w:r>
      <w:r>
        <w:rPr>
          <w:rFonts w:eastAsia="Arial" w:cs="Arial"/>
        </w:rPr>
        <w:t>grant</w:t>
      </w:r>
      <w:r w:rsidRPr="00FE1F2D">
        <w:rPr>
          <w:rFonts w:eastAsia="Arial" w:cs="Arial"/>
        </w:rPr>
        <w:t>s are part of the Settlement Services program. SETS – Client Services aims to meet the diverse needs of humanitarian entrants and other vulnerable mi</w:t>
      </w:r>
      <w:r>
        <w:rPr>
          <w:rFonts w:eastAsia="Arial" w:cs="Arial"/>
        </w:rPr>
        <w:t>grant</w:t>
      </w:r>
      <w:r w:rsidRPr="00FE1F2D">
        <w:rPr>
          <w:rFonts w:eastAsia="Arial" w:cs="Arial"/>
        </w:rPr>
        <w:t xml:space="preserve">s. It </w:t>
      </w:r>
      <w:r w:rsidRPr="00FE1F2D">
        <w:rPr>
          <w:rFonts w:eastAsia="Arial" w:cs="Arial"/>
        </w:rPr>
        <w:lastRenderedPageBreak/>
        <w:t>does this by facilitating collaboration and building partnerships across settlement services and other relevant organisations, and by fostering innovative support services.</w:t>
      </w:r>
    </w:p>
    <w:p w14:paraId="2D78285F" w14:textId="77777777" w:rsidR="007568B1" w:rsidRPr="00FE1F2D" w:rsidRDefault="007568B1" w:rsidP="007568B1">
      <w:pPr>
        <w:spacing w:before="120"/>
        <w:rPr>
          <w:rFonts w:eastAsia="Arial" w:cs="Arial"/>
        </w:rPr>
      </w:pPr>
      <w:r w:rsidRPr="00FE1F2D">
        <w:rPr>
          <w:rFonts w:eastAsia="Arial" w:cs="Arial"/>
        </w:rPr>
        <w:t xml:space="preserve">SETS - Client Services are delivered to eligible clients in their first five years </w:t>
      </w:r>
      <w:r>
        <w:rPr>
          <w:rFonts w:eastAsia="Arial" w:cs="Arial"/>
        </w:rPr>
        <w:t>living</w:t>
      </w:r>
      <w:r w:rsidRPr="00FE1F2D">
        <w:rPr>
          <w:rFonts w:eastAsia="Arial" w:cs="Arial"/>
        </w:rPr>
        <w:t xml:space="preserve"> in Australia in the following categories:</w:t>
      </w:r>
    </w:p>
    <w:p w14:paraId="75B18147" w14:textId="77777777" w:rsidR="007568B1" w:rsidRPr="00FE1F2D" w:rsidRDefault="007568B1" w:rsidP="0087683E">
      <w:pPr>
        <w:pStyle w:val="ListBullet"/>
        <w:rPr>
          <w:rFonts w:eastAsia="Arial"/>
        </w:rPr>
      </w:pPr>
      <w:r w:rsidRPr="00FE1F2D">
        <w:rPr>
          <w:rFonts w:eastAsia="Arial"/>
        </w:rPr>
        <w:t>humanitarian entrants</w:t>
      </w:r>
    </w:p>
    <w:p w14:paraId="35B9668C" w14:textId="77777777" w:rsidR="007568B1" w:rsidRPr="00FE1F2D" w:rsidRDefault="007568B1" w:rsidP="0087683E">
      <w:pPr>
        <w:pStyle w:val="ListBullet"/>
        <w:rPr>
          <w:rFonts w:eastAsia="Arial"/>
        </w:rPr>
      </w:pPr>
      <w:r w:rsidRPr="00FE1F2D">
        <w:rPr>
          <w:rFonts w:eastAsia="Arial"/>
        </w:rPr>
        <w:t>family stream mi</w:t>
      </w:r>
      <w:r>
        <w:rPr>
          <w:rFonts w:eastAsia="Arial"/>
        </w:rPr>
        <w:t>grant</w:t>
      </w:r>
      <w:r w:rsidRPr="00FE1F2D">
        <w:rPr>
          <w:rFonts w:eastAsia="Arial"/>
        </w:rPr>
        <w:t>s with low English language proficiency</w:t>
      </w:r>
    </w:p>
    <w:p w14:paraId="249FD61D" w14:textId="77777777" w:rsidR="007568B1" w:rsidRPr="00FE1F2D" w:rsidRDefault="007568B1" w:rsidP="0087683E">
      <w:pPr>
        <w:pStyle w:val="ListBullet"/>
        <w:rPr>
          <w:rFonts w:eastAsia="Arial"/>
        </w:rPr>
      </w:pPr>
      <w:r w:rsidRPr="00FE1F2D">
        <w:rPr>
          <w:rFonts w:eastAsia="Arial"/>
        </w:rPr>
        <w:t>dependants of skilled mi</w:t>
      </w:r>
      <w:r>
        <w:rPr>
          <w:rFonts w:eastAsia="Arial"/>
        </w:rPr>
        <w:t>grant</w:t>
      </w:r>
      <w:r w:rsidRPr="00FE1F2D">
        <w:rPr>
          <w:rFonts w:eastAsia="Arial"/>
        </w:rPr>
        <w:t>s in rural and regional areas with low English language proficiency</w:t>
      </w:r>
    </w:p>
    <w:p w14:paraId="22E5D46E" w14:textId="77777777" w:rsidR="007568B1" w:rsidRPr="00FE1F2D" w:rsidRDefault="007568B1" w:rsidP="0087683E">
      <w:pPr>
        <w:pStyle w:val="ListBullet"/>
        <w:rPr>
          <w:rFonts w:eastAsia="Arial"/>
        </w:rPr>
      </w:pPr>
      <w:r w:rsidRPr="00FE1F2D">
        <w:rPr>
          <w:rFonts w:eastAsia="Arial"/>
        </w:rPr>
        <w:t>selected temporary residents (Prospective Marriage and Provisional Partner visa holders and their dependants) in rural and regional areas with low English.</w:t>
      </w:r>
    </w:p>
    <w:p w14:paraId="661334C9" w14:textId="77777777" w:rsidR="007568B1" w:rsidRPr="00FE1F2D" w:rsidRDefault="007568B1" w:rsidP="007568B1">
      <w:pPr>
        <w:spacing w:before="120"/>
        <w:rPr>
          <w:rFonts w:eastAsia="Arial" w:cs="Arial"/>
        </w:rPr>
      </w:pPr>
      <w:r w:rsidRPr="00FE1F2D">
        <w:rPr>
          <w:rFonts w:eastAsia="Arial" w:cs="Arial"/>
        </w:rPr>
        <w:t>A priority for SETS - Client Services within the eligible categories is youth. Newly arrived young mi</w:t>
      </w:r>
      <w:r>
        <w:rPr>
          <w:rFonts w:eastAsia="Arial" w:cs="Arial"/>
        </w:rPr>
        <w:t>grant</w:t>
      </w:r>
      <w:r w:rsidRPr="00FE1F2D">
        <w:rPr>
          <w:rFonts w:eastAsia="Arial" w:cs="Arial"/>
        </w:rPr>
        <w:t xml:space="preserve">s can face significant challenges in their settlement, including acquiring English language skills, entering formal schooling, moving between cultures, finding housing, finding jobs, and connecting to and navigating mainstream services. These challenges may be more prominent in some locations. Newly arrived young people may benefit from a more targeted service delivery approach from providers. </w:t>
      </w:r>
    </w:p>
    <w:p w14:paraId="09DCDF09" w14:textId="77777777" w:rsidR="007568B1" w:rsidRPr="00FE1F2D" w:rsidRDefault="007568B1" w:rsidP="007568B1">
      <w:pPr>
        <w:spacing w:before="120"/>
        <w:rPr>
          <w:rFonts w:eastAsia="Arial" w:cs="Arial"/>
        </w:rPr>
      </w:pPr>
      <w:r w:rsidRPr="00FE1F2D">
        <w:rPr>
          <w:rFonts w:eastAsia="Arial" w:cs="Arial"/>
        </w:rPr>
        <w:t xml:space="preserve">In addition to youth, services in the above categories should be focussed on supporting the most vulnerable clients, including women, people with a disability and the elderly. </w:t>
      </w:r>
    </w:p>
    <w:p w14:paraId="796511D7" w14:textId="77777777" w:rsidR="007568B1" w:rsidRPr="00FE1F2D" w:rsidRDefault="007568B1" w:rsidP="007568B1">
      <w:pPr>
        <w:spacing w:before="120"/>
        <w:rPr>
          <w:rFonts w:eastAsia="Arial" w:cs="Arial"/>
        </w:rPr>
      </w:pPr>
      <w:r w:rsidRPr="00FE1F2D">
        <w:rPr>
          <w:rFonts w:eastAsia="Arial" w:cs="Arial"/>
        </w:rPr>
        <w:t xml:space="preserve">Demographic information is available to all SETS applicants in the form of Settlement Information Reports. The documents may assist in preparing proposals for the SETS – Client Services </w:t>
      </w:r>
      <w:r>
        <w:rPr>
          <w:rFonts w:eastAsia="Arial" w:cs="Arial"/>
        </w:rPr>
        <w:t>grant</w:t>
      </w:r>
      <w:r w:rsidRPr="00FE1F2D">
        <w:rPr>
          <w:rFonts w:eastAsia="Arial" w:cs="Arial"/>
        </w:rPr>
        <w:t xml:space="preserve"> opportunity. The documents detail statistical information specific to the SETS </w:t>
      </w:r>
      <w:r w:rsidRPr="00FE1F2D">
        <w:rPr>
          <w:rFonts w:eastAsia="Arial" w:cs="Arial"/>
        </w:rPr>
        <w:noBreakHyphen/>
        <w:t xml:space="preserve"> Client Services Target Groups in each state and territory. </w:t>
      </w:r>
    </w:p>
    <w:p w14:paraId="356A6070" w14:textId="77777777" w:rsidR="007568B1" w:rsidRPr="00FE1F2D" w:rsidRDefault="007568B1" w:rsidP="007568B1">
      <w:pPr>
        <w:spacing w:before="120"/>
        <w:rPr>
          <w:rFonts w:eastAsia="Arial" w:cs="Arial"/>
        </w:rPr>
      </w:pPr>
      <w:r w:rsidRPr="00FE1F2D">
        <w:rPr>
          <w:rFonts w:eastAsia="Arial" w:cs="Arial"/>
        </w:rPr>
        <w:t>The objectives of SETS – Client Services are to:</w:t>
      </w:r>
    </w:p>
    <w:p w14:paraId="4D0281ED" w14:textId="77777777" w:rsidR="007568B1" w:rsidRPr="0087683E" w:rsidRDefault="007568B1" w:rsidP="0087683E">
      <w:pPr>
        <w:pStyle w:val="ListBullet"/>
        <w:rPr>
          <w:rFonts w:eastAsia="Arial"/>
        </w:rPr>
      </w:pPr>
      <w:r w:rsidRPr="0087683E">
        <w:rPr>
          <w:rFonts w:eastAsia="Arial"/>
        </w:rPr>
        <w:t>Equip and empower eligible clients and communities with the knowledge and skills to identify, understand and take action to address identified settlement needs</w:t>
      </w:r>
    </w:p>
    <w:p w14:paraId="743F47BF" w14:textId="1169FB06" w:rsidR="007568B1" w:rsidRPr="0087683E" w:rsidRDefault="007568B1" w:rsidP="0087683E">
      <w:pPr>
        <w:pStyle w:val="ListBullet"/>
        <w:rPr>
          <w:rFonts w:eastAsia="Arial"/>
        </w:rPr>
      </w:pPr>
      <w:r w:rsidRPr="0087683E">
        <w:rPr>
          <w:rFonts w:eastAsia="Arial"/>
        </w:rPr>
        <w:t>Improve social participation, economic well-being, independence, personal well-being and community connectedness</w:t>
      </w:r>
    </w:p>
    <w:p w14:paraId="3AB064BF" w14:textId="77777777" w:rsidR="007568B1" w:rsidRPr="0087683E" w:rsidRDefault="007568B1" w:rsidP="0087683E">
      <w:pPr>
        <w:pStyle w:val="ListBullet"/>
        <w:rPr>
          <w:rFonts w:eastAsia="Arial"/>
        </w:rPr>
      </w:pPr>
      <w:r w:rsidRPr="0087683E">
        <w:rPr>
          <w:rFonts w:eastAsia="Arial"/>
        </w:rPr>
        <w:t>Deliver services in accordance with a needs-based approach.</w:t>
      </w:r>
    </w:p>
    <w:p w14:paraId="1C15BEB1" w14:textId="77777777" w:rsidR="007568B1" w:rsidRPr="00FE1F2D" w:rsidRDefault="007568B1" w:rsidP="007568B1">
      <w:pPr>
        <w:spacing w:before="120"/>
        <w:rPr>
          <w:rFonts w:eastAsia="Arial" w:cs="Arial"/>
        </w:rPr>
      </w:pPr>
      <w:r w:rsidRPr="00FE1F2D">
        <w:rPr>
          <w:rFonts w:eastAsia="Arial" w:cs="Arial"/>
        </w:rPr>
        <w:t xml:space="preserve">Typically client needs will align with the nine priority areas identified in the </w:t>
      </w:r>
      <w:hyperlink r:id="rId28" w:history="1">
        <w:r w:rsidRPr="00FE1F2D">
          <w:rPr>
            <w:rStyle w:val="Hyperlink"/>
            <w:rFonts w:eastAsia="Arial" w:cs="Arial"/>
          </w:rPr>
          <w:t>National Settlement Framework</w:t>
        </w:r>
      </w:hyperlink>
      <w:r w:rsidRPr="00FE1F2D">
        <w:rPr>
          <w:rFonts w:eastAsia="Arial" w:cs="Arial"/>
        </w:rPr>
        <w:t xml:space="preserve"> (namely: language services, employment, education and training, housing, health and wellbeing, transport, civic participation, family and social support, and justice), further information on the priority areas identified in the National Settlement Framework is located at </w:t>
      </w:r>
      <w:r w:rsidRPr="00FE1F2D">
        <w:rPr>
          <w:rFonts w:eastAsia="Arial" w:cs="Arial"/>
          <w:b/>
        </w:rPr>
        <w:t>Appendix A</w:t>
      </w:r>
      <w:r w:rsidRPr="00FE1F2D">
        <w:rPr>
          <w:rFonts w:eastAsia="Arial" w:cs="Arial"/>
        </w:rPr>
        <w:t>.</w:t>
      </w:r>
    </w:p>
    <w:p w14:paraId="094154D6" w14:textId="77777777" w:rsidR="007568B1" w:rsidRPr="00FE1F2D" w:rsidRDefault="007568B1" w:rsidP="007568B1">
      <w:pPr>
        <w:spacing w:before="120"/>
        <w:rPr>
          <w:rFonts w:eastAsia="Arial" w:cs="Arial"/>
        </w:rPr>
      </w:pPr>
      <w:r w:rsidRPr="00FE1F2D">
        <w:rPr>
          <w:rFonts w:eastAsia="Arial" w:cs="Arial"/>
        </w:rPr>
        <w:t xml:space="preserve">The intended outcomes of SETS – Client Services </w:t>
      </w:r>
      <w:r>
        <w:rPr>
          <w:rFonts w:eastAsia="Arial" w:cs="Arial"/>
        </w:rPr>
        <w:t>grant</w:t>
      </w:r>
      <w:r w:rsidRPr="00FE1F2D">
        <w:rPr>
          <w:rFonts w:eastAsia="Arial" w:cs="Arial"/>
        </w:rPr>
        <w:t>s are:</w:t>
      </w:r>
    </w:p>
    <w:p w14:paraId="2A6042A0" w14:textId="16F71648" w:rsidR="007568B1" w:rsidRPr="00FE1F2D" w:rsidRDefault="007568B1" w:rsidP="00C342EE">
      <w:pPr>
        <w:numPr>
          <w:ilvl w:val="0"/>
          <w:numId w:val="22"/>
        </w:numPr>
        <w:suppressAutoHyphens/>
        <w:spacing w:before="120"/>
        <w:rPr>
          <w:rFonts w:eastAsia="Arial" w:cs="Arial"/>
        </w:rPr>
      </w:pPr>
      <w:r w:rsidRPr="00FE1F2D">
        <w:rPr>
          <w:rFonts w:eastAsia="Arial" w:cs="Arial"/>
        </w:rPr>
        <w:t xml:space="preserve">to provide services that address client needs in relation to the </w:t>
      </w:r>
      <w:r>
        <w:rPr>
          <w:rFonts w:eastAsia="Arial" w:cs="Arial"/>
        </w:rPr>
        <w:t>Australian Government</w:t>
      </w:r>
      <w:r w:rsidRPr="00FE1F2D">
        <w:rPr>
          <w:rFonts w:eastAsia="Arial" w:cs="Arial"/>
        </w:rPr>
        <w:t>’s three priority areas of English language proficiency, edu</w:t>
      </w:r>
      <w:r w:rsidR="007877B3">
        <w:rPr>
          <w:rFonts w:eastAsia="Arial" w:cs="Arial"/>
        </w:rPr>
        <w:t>cation and employment (the 3Es)</w:t>
      </w:r>
    </w:p>
    <w:p w14:paraId="49E8C665" w14:textId="63A3E5E5" w:rsidR="007568B1" w:rsidRPr="00FE1F2D" w:rsidRDefault="007877B3" w:rsidP="00C342EE">
      <w:pPr>
        <w:numPr>
          <w:ilvl w:val="0"/>
          <w:numId w:val="22"/>
        </w:numPr>
        <w:suppressAutoHyphens/>
        <w:spacing w:before="120"/>
        <w:rPr>
          <w:rFonts w:eastAsia="Arial" w:cs="Arial"/>
        </w:rPr>
      </w:pPr>
      <w:r>
        <w:rPr>
          <w:rFonts w:eastAsia="Arial" w:cs="Arial"/>
        </w:rPr>
        <w:t>a</w:t>
      </w:r>
      <w:r w:rsidR="007568B1" w:rsidRPr="00FE1F2D">
        <w:rPr>
          <w:rFonts w:eastAsia="Arial" w:cs="Arial"/>
        </w:rPr>
        <w:t xml:space="preserve">ddress issues that arise across the nine priority areas identified in the National Settlement Framework. </w:t>
      </w:r>
    </w:p>
    <w:p w14:paraId="020FFB78" w14:textId="77777777" w:rsidR="007568B1" w:rsidRPr="003F536A" w:rsidRDefault="007568B1" w:rsidP="007568B1">
      <w:pPr>
        <w:spacing w:before="120"/>
        <w:rPr>
          <w:rFonts w:eastAsia="Arial" w:cs="Arial"/>
        </w:rPr>
      </w:pPr>
      <w:r w:rsidRPr="00FE1F2D">
        <w:rPr>
          <w:rFonts w:eastAsia="Arial" w:cs="Arial"/>
        </w:rPr>
        <w:t xml:space="preserve">Further information about the SETS - Client Services Objectives and Expected Outcomes is located at </w:t>
      </w:r>
      <w:r w:rsidRPr="00FE1F2D">
        <w:rPr>
          <w:rFonts w:eastAsia="Arial" w:cs="Arial"/>
          <w:b/>
        </w:rPr>
        <w:t>Appendix B.</w:t>
      </w:r>
    </w:p>
    <w:p w14:paraId="3A2ED7DA" w14:textId="77777777" w:rsidR="007568B1" w:rsidRPr="00FE1F2D" w:rsidRDefault="007568B1" w:rsidP="007568B1">
      <w:pPr>
        <w:pStyle w:val="BodyText1"/>
        <w:spacing w:before="120" w:line="280" w:lineRule="atLeast"/>
        <w:rPr>
          <w:rFonts w:ascii="Arial" w:eastAsia="Arial" w:hAnsi="Arial" w:cs="Arial"/>
          <w:b/>
          <w:sz w:val="20"/>
        </w:rPr>
      </w:pPr>
      <w:r w:rsidRPr="00FE1F2D">
        <w:rPr>
          <w:rFonts w:ascii="Arial" w:eastAsia="Arial" w:hAnsi="Arial" w:cs="Arial"/>
          <w:b/>
          <w:sz w:val="20"/>
        </w:rPr>
        <w:t xml:space="preserve">Expected deliverables </w:t>
      </w:r>
    </w:p>
    <w:p w14:paraId="321B94F3" w14:textId="77777777" w:rsidR="007568B1" w:rsidRPr="00FE1F2D" w:rsidRDefault="007568B1" w:rsidP="007568B1">
      <w:pPr>
        <w:spacing w:before="120"/>
        <w:rPr>
          <w:rFonts w:eastAsia="Arial" w:cs="Arial"/>
        </w:rPr>
      </w:pPr>
      <w:r w:rsidRPr="00FE1F2D">
        <w:rPr>
          <w:rFonts w:eastAsia="Arial" w:cs="Arial"/>
        </w:rPr>
        <w:t>Expected activities and deliverables may include, but are not limited to, the following:</w:t>
      </w:r>
    </w:p>
    <w:p w14:paraId="672DF515" w14:textId="77777777" w:rsidR="007568B1" w:rsidRPr="0087683E" w:rsidRDefault="007568B1" w:rsidP="0087683E">
      <w:pPr>
        <w:pStyle w:val="ListBullet"/>
        <w:rPr>
          <w:rFonts w:eastAsia="Arial"/>
        </w:rPr>
      </w:pPr>
      <w:r w:rsidRPr="0087683E">
        <w:rPr>
          <w:rFonts w:eastAsia="Arial"/>
        </w:rPr>
        <w:t>Deliver intake services that provide the opportunity for an initial needs-based assessment to be undertaken that determines the level of support required by the client</w:t>
      </w:r>
    </w:p>
    <w:p w14:paraId="6920196B" w14:textId="77777777" w:rsidR="007568B1" w:rsidRPr="0087683E" w:rsidRDefault="007568B1" w:rsidP="0087683E">
      <w:pPr>
        <w:pStyle w:val="ListBullet"/>
        <w:rPr>
          <w:rFonts w:eastAsia="Arial"/>
        </w:rPr>
      </w:pPr>
      <w:r w:rsidRPr="0087683E">
        <w:rPr>
          <w:rFonts w:eastAsia="Arial"/>
        </w:rPr>
        <w:lastRenderedPageBreak/>
        <w:t>Provide low-intensity casework support to clients requiring minimal assistance to meet their settlement needs and achieve their goals</w:t>
      </w:r>
    </w:p>
    <w:p w14:paraId="0F7C0234" w14:textId="77777777" w:rsidR="007568B1" w:rsidRPr="0087683E" w:rsidRDefault="007568B1" w:rsidP="0087683E">
      <w:pPr>
        <w:pStyle w:val="ListBullet"/>
        <w:rPr>
          <w:rFonts w:eastAsia="Arial"/>
        </w:rPr>
      </w:pPr>
      <w:r w:rsidRPr="0087683E">
        <w:rPr>
          <w:rFonts w:eastAsia="Arial"/>
        </w:rPr>
        <w:t>Provide medium-intensity casework support to clients who are identified as requiring this through the needs assessment, which targets individual needs</w:t>
      </w:r>
    </w:p>
    <w:p w14:paraId="236D40AF" w14:textId="77777777" w:rsidR="007568B1" w:rsidRPr="0087683E" w:rsidRDefault="007568B1" w:rsidP="0087683E">
      <w:pPr>
        <w:pStyle w:val="ListBullet"/>
        <w:rPr>
          <w:rFonts w:eastAsia="Arial"/>
        </w:rPr>
      </w:pPr>
      <w:r w:rsidRPr="0087683E">
        <w:rPr>
          <w:rFonts w:eastAsia="Arial"/>
        </w:rPr>
        <w:t xml:space="preserve">Deliver services targeted at youth. Possible activities and strategies relating to youth are further described at </w:t>
      </w:r>
      <w:r w:rsidRPr="0087683E">
        <w:rPr>
          <w:rFonts w:eastAsia="Arial"/>
          <w:b/>
        </w:rPr>
        <w:t>Appendix C</w:t>
      </w:r>
    </w:p>
    <w:p w14:paraId="31575177" w14:textId="77777777" w:rsidR="007568B1" w:rsidRPr="0087683E" w:rsidRDefault="007568B1" w:rsidP="0087683E">
      <w:pPr>
        <w:pStyle w:val="ListBullet"/>
        <w:rPr>
          <w:rFonts w:eastAsia="Arial"/>
        </w:rPr>
      </w:pPr>
      <w:r w:rsidRPr="0087683E">
        <w:rPr>
          <w:rFonts w:eastAsia="Arial"/>
        </w:rPr>
        <w:t xml:space="preserve">Address client needs through casework and targeted group sessions that align with the nine priority areas identified in the National Settlement Framework. Further information on the types of services and support under the National Settlement Framework, including English, education and employment is at </w:t>
      </w:r>
      <w:r w:rsidRPr="0087683E">
        <w:rPr>
          <w:rFonts w:eastAsia="Arial"/>
          <w:b/>
        </w:rPr>
        <w:t>Appendix A</w:t>
      </w:r>
    </w:p>
    <w:p w14:paraId="7DDD1E8A" w14:textId="77777777" w:rsidR="007568B1" w:rsidRPr="0087683E" w:rsidRDefault="007568B1" w:rsidP="0087683E">
      <w:pPr>
        <w:pStyle w:val="ListBullet"/>
        <w:rPr>
          <w:rFonts w:eastAsia="Arial"/>
        </w:rPr>
      </w:pPr>
      <w:r w:rsidRPr="0087683E">
        <w:rPr>
          <w:rFonts w:eastAsia="Arial"/>
        </w:rPr>
        <w:t xml:space="preserve">Strengthen relationships with other settlement and mainstream services at the operational level. This may include advocating with services for improved referral pathways and developing informal or formal partnerships. Further information on developing links and improving collaboration with other agencies at </w:t>
      </w:r>
      <w:r w:rsidRPr="0087683E">
        <w:rPr>
          <w:rFonts w:eastAsia="Arial"/>
          <w:b/>
        </w:rPr>
        <w:t>Appendix D</w:t>
      </w:r>
      <w:r w:rsidRPr="0087683E">
        <w:rPr>
          <w:rFonts w:eastAsia="Arial"/>
        </w:rPr>
        <w:t>, and</w:t>
      </w:r>
    </w:p>
    <w:p w14:paraId="26E98BF2" w14:textId="77777777" w:rsidR="007568B1" w:rsidRPr="0087683E" w:rsidRDefault="007568B1" w:rsidP="0087683E">
      <w:pPr>
        <w:pStyle w:val="ListBullet"/>
        <w:rPr>
          <w:rFonts w:eastAsia="Arial"/>
        </w:rPr>
      </w:pPr>
      <w:r w:rsidRPr="0087683E">
        <w:rPr>
          <w:rFonts w:eastAsia="Arial"/>
        </w:rPr>
        <w:t>Conduct community consultations to discuss issues, needs, and challenges affecting the settlement and integration of specific cohorts.</w:t>
      </w:r>
    </w:p>
    <w:p w14:paraId="68AA8779" w14:textId="77777777" w:rsidR="007568B1" w:rsidRPr="00FE1F2D" w:rsidRDefault="007568B1" w:rsidP="007568B1">
      <w:pPr>
        <w:spacing w:before="120"/>
        <w:rPr>
          <w:rFonts w:eastAsia="Arial" w:cs="Arial"/>
        </w:rPr>
      </w:pPr>
      <w:r w:rsidRPr="00FE1F2D">
        <w:rPr>
          <w:rFonts w:eastAsia="Arial" w:cs="Arial"/>
        </w:rPr>
        <w:t xml:space="preserve">Further information on activities falling within the above-expected deliverables is located at </w:t>
      </w:r>
      <w:r w:rsidRPr="00FE1F2D">
        <w:rPr>
          <w:rFonts w:eastAsia="Arial" w:cs="Arial"/>
          <w:b/>
        </w:rPr>
        <w:t>Appendix E</w:t>
      </w:r>
      <w:r w:rsidRPr="00FE1F2D">
        <w:rPr>
          <w:rFonts w:eastAsia="Arial" w:cs="Arial"/>
        </w:rPr>
        <w:t xml:space="preserve">. </w:t>
      </w:r>
    </w:p>
    <w:p w14:paraId="711C0E83" w14:textId="77777777" w:rsidR="007568B1" w:rsidRPr="003F536A" w:rsidRDefault="007568B1" w:rsidP="007568B1">
      <w:pPr>
        <w:spacing w:before="120"/>
        <w:rPr>
          <w:rFonts w:cs="Arial"/>
          <w:color w:val="0070C0"/>
        </w:rPr>
      </w:pPr>
      <w:r>
        <w:rPr>
          <w:rFonts w:eastAsia="Arial" w:cs="Arial"/>
        </w:rPr>
        <w:t>C</w:t>
      </w:r>
      <w:r w:rsidRPr="004E3977">
        <w:rPr>
          <w:rFonts w:eastAsia="Arial" w:cs="Arial"/>
        </w:rPr>
        <w:t>lients who require high</w:t>
      </w:r>
      <w:r>
        <w:rPr>
          <w:rFonts w:eastAsia="Arial" w:cs="Arial"/>
        </w:rPr>
        <w:t>-</w:t>
      </w:r>
      <w:r w:rsidRPr="004E3977">
        <w:rPr>
          <w:rFonts w:eastAsia="Arial" w:cs="Arial"/>
        </w:rPr>
        <w:t xml:space="preserve">intensity </w:t>
      </w:r>
      <w:r>
        <w:rPr>
          <w:rFonts w:eastAsia="Arial" w:cs="Arial"/>
        </w:rPr>
        <w:t xml:space="preserve">services would generally be expected to be referred and supported under the </w:t>
      </w:r>
      <w:r w:rsidRPr="004E3977">
        <w:rPr>
          <w:rFonts w:eastAsia="Arial" w:cs="Arial"/>
        </w:rPr>
        <w:t xml:space="preserve">Humanitarian Settlement Program </w:t>
      </w:r>
      <w:r>
        <w:rPr>
          <w:rFonts w:eastAsia="Arial" w:cs="Arial"/>
        </w:rPr>
        <w:t xml:space="preserve">(HSP) </w:t>
      </w:r>
      <w:r w:rsidRPr="004E3977">
        <w:rPr>
          <w:rFonts w:eastAsia="Arial" w:cs="Arial"/>
        </w:rPr>
        <w:t>Specialised and Intensive Support Services</w:t>
      </w:r>
      <w:r>
        <w:rPr>
          <w:rFonts w:eastAsia="Arial" w:cs="Arial"/>
        </w:rPr>
        <w:t>.</w:t>
      </w:r>
    </w:p>
    <w:p w14:paraId="5C65A476" w14:textId="77777777" w:rsidR="007568B1" w:rsidRDefault="007568B1" w:rsidP="007568B1">
      <w:pPr>
        <w:pStyle w:val="Heading2"/>
      </w:pPr>
      <w:bookmarkStart w:id="9" w:name="_Toc3559224"/>
      <w:r>
        <w:t>Grant amount and grant period</w:t>
      </w:r>
      <w:bookmarkEnd w:id="9"/>
    </w:p>
    <w:p w14:paraId="426319DC" w14:textId="77777777" w:rsidR="007568B1" w:rsidRDefault="007568B1" w:rsidP="007568B1">
      <w:pPr>
        <w:pStyle w:val="Heading3"/>
      </w:pPr>
      <w:bookmarkStart w:id="10" w:name="_Toc3559225"/>
      <w:r>
        <w:t>Grants available</w:t>
      </w:r>
      <w:bookmarkEnd w:id="10"/>
    </w:p>
    <w:p w14:paraId="6EE3E256" w14:textId="77777777" w:rsidR="007568B1" w:rsidRPr="00FE1F2D" w:rsidRDefault="007568B1" w:rsidP="007568B1">
      <w:pPr>
        <w:spacing w:before="120"/>
        <w:rPr>
          <w:rFonts w:cs="Arial"/>
        </w:rPr>
      </w:pPr>
      <w:r w:rsidRPr="00FE1F2D">
        <w:rPr>
          <w:rFonts w:cs="Arial"/>
        </w:rPr>
        <w:t xml:space="preserve">The </w:t>
      </w:r>
      <w:r>
        <w:rPr>
          <w:rFonts w:cs="Arial"/>
        </w:rPr>
        <w:t xml:space="preserve">Australian Government will allocate a total of $1.065 </w:t>
      </w:r>
      <w:r w:rsidRPr="00FE1F2D">
        <w:rPr>
          <w:rFonts w:cs="Arial"/>
        </w:rPr>
        <w:t>million (GST Exclusive) for the Settlement Engagement and Transition Support (SETS) Client Services sub-activity gap funding for the period 1 July 2019 to 30 June 2022.</w:t>
      </w:r>
    </w:p>
    <w:p w14:paraId="376F0025" w14:textId="77777777" w:rsidR="007568B1" w:rsidRPr="00FE1F2D" w:rsidRDefault="007568B1" w:rsidP="007568B1">
      <w:pPr>
        <w:spacing w:before="120"/>
        <w:rPr>
          <w:rFonts w:cs="Arial"/>
          <w:color w:val="0070C0"/>
        </w:rPr>
      </w:pPr>
      <w:r w:rsidRPr="00FE1F2D">
        <w:rPr>
          <w:rFonts w:cs="Arial"/>
          <w:b/>
        </w:rPr>
        <w:t>Commonwealth Social and Community Services Award supplementation</w:t>
      </w:r>
      <w:r w:rsidRPr="00FE1F2D">
        <w:rPr>
          <w:rFonts w:cs="Arial"/>
        </w:rPr>
        <w:t xml:space="preserve"> </w:t>
      </w:r>
    </w:p>
    <w:p w14:paraId="38654B82" w14:textId="7EE36F72" w:rsidR="007568B1" w:rsidRPr="00FE1F2D" w:rsidRDefault="007568B1" w:rsidP="007568B1">
      <w:pPr>
        <w:spacing w:before="120"/>
        <w:rPr>
          <w:rFonts w:cs="Arial"/>
        </w:rPr>
      </w:pPr>
      <w:r w:rsidRPr="00FE1F2D">
        <w:rPr>
          <w:rFonts w:cs="Arial"/>
        </w:rPr>
        <w:t xml:space="preserve">The SETS </w:t>
      </w:r>
      <w:r>
        <w:rPr>
          <w:rFonts w:cs="Arial"/>
        </w:rPr>
        <w:t xml:space="preserve">- </w:t>
      </w:r>
      <w:r w:rsidRPr="00FE1F2D">
        <w:rPr>
          <w:rFonts w:cs="Arial"/>
        </w:rPr>
        <w:t xml:space="preserve">Client Services </w:t>
      </w:r>
      <w:r>
        <w:rPr>
          <w:rFonts w:cs="Arial"/>
        </w:rPr>
        <w:t>grant</w:t>
      </w:r>
      <w:r w:rsidRPr="00FE1F2D">
        <w:rPr>
          <w:rFonts w:cs="Arial"/>
        </w:rPr>
        <w:t xml:space="preserve"> recipients may be eligible to receive Commonwealth Social and Community Services (SACS) Award supplementation.</w:t>
      </w:r>
      <w:r w:rsidRPr="00FE1F2D">
        <w:rPr>
          <w:rFonts w:cs="Arial"/>
          <w:color w:val="FF0000"/>
        </w:rPr>
        <w:t xml:space="preserve"> </w:t>
      </w:r>
      <w:r w:rsidRPr="00FE1F2D">
        <w:rPr>
          <w:rFonts w:cs="Arial"/>
        </w:rPr>
        <w:t>The SACs supplementation is provided only to programs that existed in February 2012 and is limited to prog</w:t>
      </w:r>
      <w:r>
        <w:rPr>
          <w:rFonts w:cs="Arial"/>
        </w:rPr>
        <w:t>rams that were in-scope as at 1 February 2012. </w:t>
      </w:r>
      <w:r w:rsidRPr="00FE1F2D">
        <w:rPr>
          <w:rFonts w:cs="Arial"/>
        </w:rPr>
        <w:t>This is because when new policy proposals and programs are developed, SACS wage costs (at the relevant award rate) are included in the baseline program funding. </w:t>
      </w:r>
      <w:r>
        <w:rPr>
          <w:rFonts w:cs="Arial"/>
        </w:rPr>
        <w:t>T</w:t>
      </w:r>
      <w:r w:rsidRPr="00FE1F2D">
        <w:rPr>
          <w:rFonts w:cs="Arial"/>
        </w:rPr>
        <w:t xml:space="preserve">he program is an in-scope program </w:t>
      </w:r>
      <w:r>
        <w:rPr>
          <w:rFonts w:cs="Arial"/>
        </w:rPr>
        <w:t xml:space="preserve">where </w:t>
      </w:r>
      <w:r w:rsidRPr="00FE1F2D">
        <w:rPr>
          <w:rFonts w:cs="Arial"/>
        </w:rPr>
        <w:t xml:space="preserve">the SACS supplementation can only be used to pay SACS workers’ salaries and costs associated with meeting their obligations as a result of the Equal Remuneration Order. </w:t>
      </w:r>
    </w:p>
    <w:p w14:paraId="210E7952" w14:textId="11D70CAB" w:rsidR="007568B1" w:rsidRDefault="007568B1" w:rsidP="007568B1">
      <w:pPr>
        <w:spacing w:before="120"/>
        <w:rPr>
          <w:color w:val="002060"/>
        </w:rPr>
      </w:pPr>
      <w:bookmarkStart w:id="11" w:name="_Toc3559226"/>
      <w:r>
        <w:t>Applicants who are eligible for the SACS supplementation need to ensure they include these costs in the Budget template and complete a SACS Financial Declar</w:t>
      </w:r>
      <w:r w:rsidR="007877B3">
        <w:t>ation form as outlined in your grant a</w:t>
      </w:r>
      <w:r>
        <w:t xml:space="preserve">greement. SACS supplementation ceases on 30 June 2021. Further information can be found </w:t>
      </w:r>
      <w:hyperlink r:id="rId29" w:history="1">
        <w:r w:rsidRPr="000D5F7A">
          <w:rPr>
            <w:rStyle w:val="Hyperlink"/>
            <w:color w:val="auto"/>
            <w:u w:val="none"/>
          </w:rPr>
          <w:t xml:space="preserve">on the </w:t>
        </w:r>
        <w:r>
          <w:rPr>
            <w:rStyle w:val="Hyperlink"/>
          </w:rPr>
          <w:t>DSS website</w:t>
        </w:r>
      </w:hyperlink>
      <w:r>
        <w:t>.</w:t>
      </w:r>
    </w:p>
    <w:p w14:paraId="4350F004" w14:textId="77777777" w:rsidR="007568B1" w:rsidRDefault="007568B1" w:rsidP="007568B1"/>
    <w:p w14:paraId="1314B042" w14:textId="77777777" w:rsidR="007568B1" w:rsidRDefault="007568B1" w:rsidP="007568B1"/>
    <w:p w14:paraId="1BBA8F8C" w14:textId="77777777" w:rsidR="007568B1" w:rsidRDefault="007568B1" w:rsidP="007568B1">
      <w:pPr>
        <w:pStyle w:val="Heading2"/>
      </w:pPr>
      <w:r>
        <w:lastRenderedPageBreak/>
        <w:t>Eligibility criteria</w:t>
      </w:r>
      <w:bookmarkEnd w:id="11"/>
    </w:p>
    <w:p w14:paraId="5F21B0D8" w14:textId="77777777" w:rsidR="007568B1" w:rsidRPr="00796798" w:rsidRDefault="007568B1" w:rsidP="007568B1">
      <w:pPr>
        <w:spacing w:before="120"/>
        <w:rPr>
          <w:rFonts w:cs="Arial"/>
          <w:color w:val="0070C0"/>
        </w:rPr>
      </w:pPr>
      <w:r w:rsidRPr="00796798">
        <w:rPr>
          <w:rFonts w:cs="Arial"/>
        </w:rPr>
        <w:t xml:space="preserve">This </w:t>
      </w:r>
      <w:r>
        <w:rPr>
          <w:rFonts w:cs="Arial"/>
        </w:rPr>
        <w:t>grant</w:t>
      </w:r>
      <w:r w:rsidRPr="00796798">
        <w:rPr>
          <w:rFonts w:cs="Arial"/>
        </w:rPr>
        <w:t xml:space="preserve"> opportunity is a closed non-competitive </w:t>
      </w:r>
      <w:r>
        <w:rPr>
          <w:rFonts w:cs="Arial"/>
        </w:rPr>
        <w:t>grant</w:t>
      </w:r>
      <w:r w:rsidRPr="00796798">
        <w:rPr>
          <w:rFonts w:cs="Arial"/>
        </w:rPr>
        <w:t xml:space="preserve"> selection process. The Department of Social Services considers that this is an appropriate type of selection process considering the nature of the </w:t>
      </w:r>
      <w:r>
        <w:rPr>
          <w:rFonts w:cs="Arial"/>
        </w:rPr>
        <w:t>grant</w:t>
      </w:r>
      <w:r w:rsidRPr="00796798">
        <w:rPr>
          <w:rFonts w:cs="Arial"/>
        </w:rPr>
        <w:t xml:space="preserve"> is specifically dependent </w:t>
      </w:r>
      <w:r w:rsidRPr="00CC11BA">
        <w:rPr>
          <w:rFonts w:cs="Arial"/>
        </w:rPr>
        <w:t xml:space="preserve">on the delivery of the SETS Activity in </w:t>
      </w:r>
      <w:r>
        <w:rPr>
          <w:rFonts w:cs="Arial"/>
        </w:rPr>
        <w:t xml:space="preserve">the </w:t>
      </w:r>
      <w:r w:rsidRPr="00CC11BA">
        <w:rPr>
          <w:rFonts w:cs="Arial"/>
        </w:rPr>
        <w:t>service delivery areas of identified need outlined in the table below.</w:t>
      </w:r>
    </w:p>
    <w:p w14:paraId="2A8A3725" w14:textId="77777777" w:rsidR="007568B1" w:rsidRDefault="007568B1" w:rsidP="007568B1">
      <w:pPr>
        <w:pStyle w:val="Heading3"/>
      </w:pPr>
      <w:bookmarkStart w:id="12" w:name="_Ref437348317"/>
      <w:bookmarkStart w:id="13" w:name="_Ref437348323"/>
      <w:bookmarkStart w:id="14" w:name="_Ref437349175"/>
      <w:bookmarkStart w:id="15" w:name="_Ref485202969"/>
      <w:bookmarkStart w:id="16" w:name="_Toc3559227"/>
      <w:r>
        <w:t>Who is eligible to apply for a grant?</w:t>
      </w:r>
      <w:bookmarkEnd w:id="12"/>
      <w:bookmarkEnd w:id="13"/>
      <w:bookmarkEnd w:id="14"/>
      <w:bookmarkEnd w:id="15"/>
      <w:bookmarkEnd w:id="16"/>
    </w:p>
    <w:p w14:paraId="137256C5" w14:textId="77777777" w:rsidR="007568B1" w:rsidRPr="00FE1F2D" w:rsidRDefault="007568B1" w:rsidP="007568B1">
      <w:pPr>
        <w:spacing w:before="120"/>
        <w:rPr>
          <w:rFonts w:eastAsiaTheme="minorHAnsi" w:cstheme="minorBidi"/>
        </w:rPr>
      </w:pPr>
      <w:r w:rsidRPr="00FE1F2D">
        <w:rPr>
          <w:rFonts w:eastAsiaTheme="minorHAnsi" w:cstheme="minorBidi"/>
        </w:rPr>
        <w:t xml:space="preserve">To be eligible to receive a </w:t>
      </w:r>
      <w:r>
        <w:rPr>
          <w:rFonts w:eastAsiaTheme="minorHAnsi" w:cstheme="minorBidi"/>
        </w:rPr>
        <w:t>grant</w:t>
      </w:r>
      <w:r w:rsidRPr="00FE1F2D">
        <w:rPr>
          <w:rFonts w:eastAsiaTheme="minorHAnsi" w:cstheme="minorBidi"/>
        </w:rPr>
        <w:t xml:space="preserve">, you must be one of the listed invited organisations and have received an invitation to apply through </w:t>
      </w:r>
      <w:hyperlink r:id="rId30" w:history="1">
        <w:r>
          <w:rPr>
            <w:rStyle w:val="Hyperlink"/>
          </w:rPr>
          <w:t>Grant</w:t>
        </w:r>
        <w:r w:rsidRPr="00452C26">
          <w:rPr>
            <w:rStyle w:val="Hyperlink"/>
          </w:rPr>
          <w:t>Connect</w:t>
        </w:r>
      </w:hyperlink>
      <w:r w:rsidRPr="00FE1F2D">
        <w:rPr>
          <w:rFonts w:eastAsiaTheme="minorHAnsi" w:cstheme="minorBidi"/>
        </w:rPr>
        <w:t>.</w:t>
      </w:r>
    </w:p>
    <w:p w14:paraId="24776C41" w14:textId="77777777" w:rsidR="007568B1" w:rsidRPr="00FE1F2D" w:rsidRDefault="007568B1" w:rsidP="007568B1">
      <w:pPr>
        <w:spacing w:before="120"/>
        <w:rPr>
          <w:rFonts w:eastAsiaTheme="minorHAnsi" w:cstheme="minorBidi"/>
        </w:rPr>
      </w:pPr>
      <w:r w:rsidRPr="00FE1F2D">
        <w:rPr>
          <w:rFonts w:eastAsiaTheme="minorHAnsi" w:cstheme="minorBidi"/>
        </w:rPr>
        <w:t>The list of eligible applicants was determined by the Department of Social Services as they:</w:t>
      </w:r>
    </w:p>
    <w:p w14:paraId="1480C54B" w14:textId="77777777" w:rsidR="007568B1" w:rsidRPr="00FE1F2D" w:rsidRDefault="007568B1" w:rsidP="00C342EE">
      <w:pPr>
        <w:pStyle w:val="ListParagraph"/>
        <w:numPr>
          <w:ilvl w:val="0"/>
          <w:numId w:val="23"/>
        </w:numPr>
        <w:spacing w:before="120"/>
        <w:contextualSpacing w:val="0"/>
        <w:rPr>
          <w:rFonts w:cs="Arial"/>
        </w:rPr>
      </w:pPr>
      <w:r w:rsidRPr="00FE1F2D">
        <w:rPr>
          <w:rFonts w:cs="Arial"/>
        </w:rPr>
        <w:t>are concerned with settlement issues of relevance to the needs of mi</w:t>
      </w:r>
      <w:r>
        <w:rPr>
          <w:rFonts w:cs="Arial"/>
        </w:rPr>
        <w:t>grant</w:t>
      </w:r>
      <w:r w:rsidRPr="00FE1F2D">
        <w:rPr>
          <w:rFonts w:cs="Arial"/>
        </w:rPr>
        <w:t>s, humanitarian entrants and refugees, particularly in relation to f</w:t>
      </w:r>
      <w:r>
        <w:rPr>
          <w:rFonts w:cs="Arial"/>
        </w:rPr>
        <w:t>amily and/or community services</w:t>
      </w:r>
    </w:p>
    <w:p w14:paraId="2B1D9342" w14:textId="77777777" w:rsidR="007568B1" w:rsidRPr="00FE1F2D" w:rsidRDefault="007568B1" w:rsidP="00C342EE">
      <w:pPr>
        <w:pStyle w:val="ListParagraph"/>
        <w:numPr>
          <w:ilvl w:val="0"/>
          <w:numId w:val="23"/>
        </w:numPr>
        <w:spacing w:before="120"/>
        <w:contextualSpacing w:val="0"/>
        <w:rPr>
          <w:rFonts w:cs="Arial"/>
        </w:rPr>
      </w:pPr>
      <w:r w:rsidRPr="00FE1F2D">
        <w:rPr>
          <w:rFonts w:cs="Arial"/>
        </w:rPr>
        <w:t xml:space="preserve">demonstrate a high standard ability to fulfil their roles and responsibilities under the formerly known Settlements Services </w:t>
      </w:r>
      <w:r>
        <w:rPr>
          <w:rFonts w:cs="Arial"/>
        </w:rPr>
        <w:t>grants</w:t>
      </w:r>
    </w:p>
    <w:p w14:paraId="28A7099E" w14:textId="77777777" w:rsidR="007568B1" w:rsidRPr="00FE1F2D" w:rsidRDefault="007568B1" w:rsidP="00C342EE">
      <w:pPr>
        <w:pStyle w:val="ListParagraph"/>
        <w:numPr>
          <w:ilvl w:val="0"/>
          <w:numId w:val="23"/>
        </w:numPr>
        <w:spacing w:before="120"/>
        <w:contextualSpacing w:val="0"/>
        <w:rPr>
          <w:rFonts w:cs="Arial"/>
        </w:rPr>
      </w:pPr>
      <w:r w:rsidRPr="00FE1F2D">
        <w:rPr>
          <w:rFonts w:cs="Arial"/>
        </w:rPr>
        <w:t>have relevant experience and be high-performing, community based organisations;</w:t>
      </w:r>
    </w:p>
    <w:p w14:paraId="2B28C68B" w14:textId="7BD19BD1" w:rsidR="007568B1" w:rsidRPr="00FE1F2D" w:rsidRDefault="007568B1" w:rsidP="00C342EE">
      <w:pPr>
        <w:pStyle w:val="ListParagraph"/>
        <w:numPr>
          <w:ilvl w:val="0"/>
          <w:numId w:val="23"/>
        </w:numPr>
        <w:spacing w:before="120"/>
        <w:contextualSpacing w:val="0"/>
        <w:rPr>
          <w:rFonts w:cs="Arial"/>
        </w:rPr>
      </w:pPr>
      <w:r w:rsidRPr="00FE1F2D">
        <w:rPr>
          <w:rFonts w:cs="Arial"/>
        </w:rPr>
        <w:t>currently provide critical services to vuln</w:t>
      </w:r>
      <w:r>
        <w:rPr>
          <w:rFonts w:cs="Arial"/>
        </w:rPr>
        <w:t>erable cohorts</w:t>
      </w:r>
    </w:p>
    <w:p w14:paraId="56559BA9" w14:textId="77777777" w:rsidR="007568B1" w:rsidRPr="00FE1F2D" w:rsidRDefault="007568B1" w:rsidP="00C342EE">
      <w:pPr>
        <w:pStyle w:val="ListParagraph"/>
        <w:numPr>
          <w:ilvl w:val="0"/>
          <w:numId w:val="23"/>
        </w:numPr>
        <w:spacing w:before="120"/>
        <w:contextualSpacing w:val="0"/>
        <w:rPr>
          <w:rFonts w:cs="Arial"/>
        </w:rPr>
      </w:pPr>
      <w:r w:rsidRPr="00FE1F2D">
        <w:rPr>
          <w:rFonts w:cs="Arial"/>
        </w:rPr>
        <w:t>provide continuity of service delivery to ensure established local community relationships continue.</w:t>
      </w:r>
    </w:p>
    <w:tbl>
      <w:tblPr>
        <w:tblStyle w:val="TableGrid1"/>
        <w:tblW w:w="9351" w:type="dxa"/>
        <w:jc w:val="center"/>
        <w:tblLayout w:type="fixed"/>
        <w:tblLook w:val="04A0" w:firstRow="1" w:lastRow="0" w:firstColumn="1" w:lastColumn="0" w:noHBand="0" w:noVBand="1"/>
        <w:tblCaption w:val="Invited Organtion and Rationale for Invitation"/>
      </w:tblPr>
      <w:tblGrid>
        <w:gridCol w:w="1980"/>
        <w:gridCol w:w="1701"/>
        <w:gridCol w:w="1417"/>
        <w:gridCol w:w="1418"/>
        <w:gridCol w:w="1417"/>
        <w:gridCol w:w="1418"/>
      </w:tblGrid>
      <w:tr w:rsidR="007568B1" w:rsidRPr="008D0D99" w14:paraId="1837F897" w14:textId="77777777" w:rsidTr="000E7AB7">
        <w:trPr>
          <w:tblHeader/>
          <w:jc w:val="center"/>
        </w:trPr>
        <w:tc>
          <w:tcPr>
            <w:tcW w:w="1980" w:type="dxa"/>
            <w:vMerge w:val="restart"/>
            <w:shd w:val="clear" w:color="auto" w:fill="F2F2F2" w:themeFill="background1" w:themeFillShade="F2"/>
            <w:vAlign w:val="center"/>
          </w:tcPr>
          <w:p w14:paraId="2D418214" w14:textId="77777777" w:rsidR="007568B1" w:rsidRPr="00FE1F2D" w:rsidRDefault="007568B1" w:rsidP="007877B3">
            <w:pPr>
              <w:spacing w:before="60" w:after="60" w:line="240" w:lineRule="auto"/>
              <w:jc w:val="center"/>
              <w:rPr>
                <w:rFonts w:ascii="Arial" w:hAnsi="Arial" w:cs="Arial"/>
                <w:b/>
                <w:sz w:val="20"/>
              </w:rPr>
            </w:pPr>
            <w:r w:rsidRPr="00FE1F2D">
              <w:rPr>
                <w:rFonts w:ascii="Arial" w:hAnsi="Arial" w:cs="Arial"/>
                <w:b/>
                <w:sz w:val="20"/>
              </w:rPr>
              <w:t>Invited Organisation</w:t>
            </w:r>
          </w:p>
        </w:tc>
        <w:tc>
          <w:tcPr>
            <w:tcW w:w="1701" w:type="dxa"/>
            <w:vMerge w:val="restart"/>
            <w:shd w:val="clear" w:color="auto" w:fill="F2F2F2" w:themeFill="background1" w:themeFillShade="F2"/>
            <w:vAlign w:val="center"/>
          </w:tcPr>
          <w:p w14:paraId="45281162" w14:textId="77777777" w:rsidR="007568B1" w:rsidRPr="00FE1F2D" w:rsidRDefault="007568B1" w:rsidP="007877B3">
            <w:pPr>
              <w:spacing w:before="60" w:after="60" w:line="240" w:lineRule="auto"/>
              <w:jc w:val="center"/>
              <w:rPr>
                <w:rFonts w:ascii="Arial" w:hAnsi="Arial" w:cs="Arial"/>
                <w:b/>
                <w:sz w:val="20"/>
              </w:rPr>
            </w:pPr>
            <w:r w:rsidRPr="00FE1F2D">
              <w:rPr>
                <w:rFonts w:ascii="Arial" w:hAnsi="Arial" w:cs="Arial"/>
                <w:b/>
                <w:sz w:val="20"/>
              </w:rPr>
              <w:t>Service Delivery Area</w:t>
            </w:r>
          </w:p>
        </w:tc>
        <w:tc>
          <w:tcPr>
            <w:tcW w:w="5670" w:type="dxa"/>
            <w:gridSpan w:val="4"/>
            <w:shd w:val="clear" w:color="auto" w:fill="F2F2F2" w:themeFill="background1" w:themeFillShade="F2"/>
            <w:vAlign w:val="center"/>
          </w:tcPr>
          <w:p w14:paraId="2D2FA775" w14:textId="77777777" w:rsidR="007568B1" w:rsidRPr="00FE1F2D" w:rsidRDefault="007568B1" w:rsidP="007877B3">
            <w:pPr>
              <w:spacing w:before="60" w:after="60" w:line="240" w:lineRule="auto"/>
              <w:jc w:val="center"/>
              <w:rPr>
                <w:rFonts w:ascii="Arial" w:hAnsi="Arial" w:cs="Arial"/>
                <w:b/>
                <w:sz w:val="20"/>
              </w:rPr>
            </w:pPr>
            <w:r w:rsidRPr="00FE1F2D">
              <w:rPr>
                <w:rFonts w:ascii="Arial" w:hAnsi="Arial" w:cs="Arial"/>
                <w:b/>
                <w:sz w:val="20"/>
              </w:rPr>
              <w:t>Funding (GST exclusive)</w:t>
            </w:r>
          </w:p>
        </w:tc>
      </w:tr>
      <w:tr w:rsidR="007568B1" w:rsidRPr="008D0D99" w14:paraId="2EB151ED" w14:textId="77777777" w:rsidTr="007877B3">
        <w:trPr>
          <w:trHeight w:val="225"/>
          <w:jc w:val="center"/>
        </w:trPr>
        <w:tc>
          <w:tcPr>
            <w:tcW w:w="1980" w:type="dxa"/>
            <w:vMerge/>
            <w:shd w:val="clear" w:color="auto" w:fill="F2F2F2" w:themeFill="background1" w:themeFillShade="F2"/>
          </w:tcPr>
          <w:p w14:paraId="36487E77" w14:textId="77777777" w:rsidR="007568B1" w:rsidRPr="00FE1F2D" w:rsidRDefault="007568B1" w:rsidP="007877B3">
            <w:pPr>
              <w:spacing w:before="60" w:after="60" w:line="240" w:lineRule="auto"/>
              <w:rPr>
                <w:rFonts w:ascii="Arial" w:hAnsi="Arial" w:cs="Arial"/>
                <w:b/>
                <w:sz w:val="20"/>
              </w:rPr>
            </w:pPr>
          </w:p>
        </w:tc>
        <w:tc>
          <w:tcPr>
            <w:tcW w:w="1701" w:type="dxa"/>
            <w:vMerge/>
            <w:shd w:val="clear" w:color="auto" w:fill="F2F2F2" w:themeFill="background1" w:themeFillShade="F2"/>
          </w:tcPr>
          <w:p w14:paraId="16286B42" w14:textId="77777777" w:rsidR="007568B1" w:rsidRPr="00FE1F2D" w:rsidRDefault="007568B1" w:rsidP="007877B3">
            <w:pPr>
              <w:spacing w:before="60" w:after="60" w:line="240" w:lineRule="auto"/>
              <w:jc w:val="center"/>
              <w:rPr>
                <w:rFonts w:ascii="Arial" w:hAnsi="Arial" w:cs="Arial"/>
                <w:b/>
                <w:sz w:val="20"/>
              </w:rPr>
            </w:pPr>
          </w:p>
        </w:tc>
        <w:tc>
          <w:tcPr>
            <w:tcW w:w="1417" w:type="dxa"/>
            <w:shd w:val="clear" w:color="auto" w:fill="F2F2F2" w:themeFill="background1" w:themeFillShade="F2"/>
            <w:vAlign w:val="center"/>
          </w:tcPr>
          <w:p w14:paraId="27A77628" w14:textId="77777777" w:rsidR="007568B1" w:rsidRPr="00FE1F2D" w:rsidRDefault="007568B1" w:rsidP="007877B3">
            <w:pPr>
              <w:spacing w:before="60" w:after="60" w:line="240" w:lineRule="auto"/>
              <w:jc w:val="center"/>
              <w:rPr>
                <w:rFonts w:ascii="Arial" w:hAnsi="Arial" w:cs="Arial"/>
                <w:b/>
                <w:sz w:val="20"/>
              </w:rPr>
            </w:pPr>
            <w:r>
              <w:rPr>
                <w:rFonts w:ascii="Arial" w:hAnsi="Arial" w:cs="Arial"/>
                <w:b/>
                <w:sz w:val="20"/>
              </w:rPr>
              <w:t>2019-20</w:t>
            </w:r>
          </w:p>
        </w:tc>
        <w:tc>
          <w:tcPr>
            <w:tcW w:w="1418" w:type="dxa"/>
            <w:shd w:val="clear" w:color="auto" w:fill="F2F2F2" w:themeFill="background1" w:themeFillShade="F2"/>
            <w:vAlign w:val="center"/>
          </w:tcPr>
          <w:p w14:paraId="5E6C9254" w14:textId="77777777" w:rsidR="007568B1" w:rsidRPr="00FE1F2D" w:rsidRDefault="007568B1" w:rsidP="007877B3">
            <w:pPr>
              <w:spacing w:before="60" w:after="60" w:line="240" w:lineRule="auto"/>
              <w:jc w:val="center"/>
              <w:rPr>
                <w:rFonts w:ascii="Arial" w:hAnsi="Arial" w:cs="Arial"/>
                <w:b/>
                <w:sz w:val="20"/>
              </w:rPr>
            </w:pPr>
            <w:r>
              <w:rPr>
                <w:rFonts w:ascii="Arial" w:hAnsi="Arial" w:cs="Arial"/>
                <w:b/>
                <w:sz w:val="20"/>
              </w:rPr>
              <w:t>2020-21</w:t>
            </w:r>
          </w:p>
        </w:tc>
        <w:tc>
          <w:tcPr>
            <w:tcW w:w="1417" w:type="dxa"/>
            <w:shd w:val="clear" w:color="auto" w:fill="F2F2F2" w:themeFill="background1" w:themeFillShade="F2"/>
            <w:vAlign w:val="center"/>
          </w:tcPr>
          <w:p w14:paraId="06368A65" w14:textId="77777777" w:rsidR="007568B1" w:rsidRPr="00FE1F2D" w:rsidRDefault="007568B1" w:rsidP="007877B3">
            <w:pPr>
              <w:spacing w:before="60" w:after="60" w:line="240" w:lineRule="auto"/>
              <w:jc w:val="center"/>
              <w:rPr>
                <w:rFonts w:ascii="Arial" w:hAnsi="Arial" w:cs="Arial"/>
                <w:b/>
                <w:sz w:val="20"/>
              </w:rPr>
            </w:pPr>
            <w:r>
              <w:rPr>
                <w:rFonts w:ascii="Arial" w:hAnsi="Arial" w:cs="Arial"/>
                <w:b/>
                <w:sz w:val="20"/>
              </w:rPr>
              <w:t>2021-22</w:t>
            </w:r>
          </w:p>
        </w:tc>
        <w:tc>
          <w:tcPr>
            <w:tcW w:w="1418" w:type="dxa"/>
            <w:shd w:val="clear" w:color="auto" w:fill="F2F2F2" w:themeFill="background1" w:themeFillShade="F2"/>
          </w:tcPr>
          <w:p w14:paraId="7567EB0D" w14:textId="77777777" w:rsidR="007568B1" w:rsidRPr="00FE1F2D" w:rsidRDefault="007568B1" w:rsidP="007877B3">
            <w:pPr>
              <w:spacing w:before="60" w:after="60" w:line="240" w:lineRule="auto"/>
              <w:jc w:val="center"/>
              <w:rPr>
                <w:rFonts w:ascii="Arial" w:hAnsi="Arial" w:cs="Arial"/>
                <w:b/>
                <w:sz w:val="20"/>
              </w:rPr>
            </w:pPr>
            <w:r w:rsidRPr="00FE1F2D">
              <w:rPr>
                <w:rFonts w:ascii="Arial" w:hAnsi="Arial" w:cs="Arial"/>
                <w:b/>
                <w:sz w:val="20"/>
              </w:rPr>
              <w:t>TOTAL</w:t>
            </w:r>
          </w:p>
        </w:tc>
      </w:tr>
      <w:tr w:rsidR="007568B1" w:rsidRPr="008D0D99" w14:paraId="6223EF66" w14:textId="77777777" w:rsidTr="007877B3">
        <w:trPr>
          <w:jc w:val="center"/>
        </w:trPr>
        <w:tc>
          <w:tcPr>
            <w:tcW w:w="1980" w:type="dxa"/>
            <w:tcBorders>
              <w:top w:val="single" w:sz="4" w:space="0" w:color="auto"/>
              <w:left w:val="single" w:sz="4" w:space="0" w:color="auto"/>
              <w:bottom w:val="single" w:sz="4" w:space="0" w:color="auto"/>
              <w:right w:val="single" w:sz="4" w:space="0" w:color="auto"/>
            </w:tcBorders>
          </w:tcPr>
          <w:p w14:paraId="63A0C2D8" w14:textId="77777777" w:rsidR="007568B1" w:rsidRPr="00FE1F2D" w:rsidRDefault="007568B1" w:rsidP="007877B3">
            <w:pPr>
              <w:spacing w:before="60" w:after="60" w:line="240" w:lineRule="auto"/>
              <w:rPr>
                <w:rFonts w:ascii="Arial" w:hAnsi="Arial" w:cs="Arial"/>
                <w:b/>
                <w:sz w:val="20"/>
                <w:szCs w:val="20"/>
              </w:rPr>
            </w:pPr>
            <w:r w:rsidRPr="00FE1F2D">
              <w:rPr>
                <w:rFonts w:ascii="Arial" w:hAnsi="Arial" w:cs="Arial"/>
                <w:sz w:val="20"/>
                <w:szCs w:val="20"/>
              </w:rPr>
              <w:t>Pilbara Community Legal Service Inc</w:t>
            </w:r>
            <w:r>
              <w:rPr>
                <w:rFonts w:ascii="Arial" w:hAnsi="Arial" w:cs="Arial"/>
                <w:sz w:val="20"/>
                <w:szCs w:val="20"/>
              </w:rPr>
              <w:t>orporated</w:t>
            </w:r>
          </w:p>
        </w:tc>
        <w:tc>
          <w:tcPr>
            <w:tcW w:w="1701" w:type="dxa"/>
          </w:tcPr>
          <w:p w14:paraId="295FB8D4" w14:textId="77777777" w:rsidR="007568B1" w:rsidRPr="00FE1F2D" w:rsidRDefault="007568B1" w:rsidP="007877B3">
            <w:pPr>
              <w:spacing w:before="60" w:after="60" w:line="240" w:lineRule="auto"/>
              <w:rPr>
                <w:rFonts w:ascii="Arial" w:hAnsi="Arial" w:cs="Arial"/>
                <w:sz w:val="20"/>
                <w:szCs w:val="20"/>
              </w:rPr>
            </w:pPr>
            <w:r w:rsidRPr="00FE1F2D">
              <w:rPr>
                <w:rFonts w:ascii="Arial" w:hAnsi="Arial" w:cs="Arial"/>
                <w:sz w:val="20"/>
                <w:szCs w:val="20"/>
              </w:rPr>
              <w:t>SA3 Pilbara</w:t>
            </w:r>
          </w:p>
          <w:p w14:paraId="5842671E" w14:textId="77777777" w:rsidR="007568B1" w:rsidRPr="00FE1F2D" w:rsidRDefault="007568B1" w:rsidP="007877B3">
            <w:pPr>
              <w:spacing w:before="60" w:after="60" w:line="240" w:lineRule="auto"/>
              <w:rPr>
                <w:rFonts w:ascii="Arial" w:hAnsi="Arial" w:cs="Arial"/>
                <w:b/>
                <w:sz w:val="20"/>
                <w:szCs w:val="20"/>
              </w:rPr>
            </w:pPr>
            <w:r w:rsidRPr="00FE1F2D">
              <w:rPr>
                <w:rFonts w:ascii="Arial" w:hAnsi="Arial" w:cs="Arial"/>
                <w:sz w:val="20"/>
                <w:szCs w:val="20"/>
              </w:rPr>
              <w:t>SA3 Goldfields</w:t>
            </w:r>
          </w:p>
        </w:tc>
        <w:tc>
          <w:tcPr>
            <w:tcW w:w="1417" w:type="dxa"/>
            <w:tcBorders>
              <w:top w:val="single" w:sz="4" w:space="0" w:color="auto"/>
              <w:left w:val="single" w:sz="4" w:space="0" w:color="auto"/>
              <w:bottom w:val="single" w:sz="4" w:space="0" w:color="auto"/>
              <w:right w:val="single" w:sz="4" w:space="0" w:color="auto"/>
            </w:tcBorders>
          </w:tcPr>
          <w:p w14:paraId="067ADC65"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lang w:val="en"/>
              </w:rPr>
              <w:t>$235,317.12</w:t>
            </w:r>
          </w:p>
        </w:tc>
        <w:tc>
          <w:tcPr>
            <w:tcW w:w="1418" w:type="dxa"/>
            <w:tcBorders>
              <w:top w:val="single" w:sz="4" w:space="0" w:color="auto"/>
              <w:left w:val="single" w:sz="4" w:space="0" w:color="auto"/>
              <w:bottom w:val="single" w:sz="4" w:space="0" w:color="auto"/>
              <w:right w:val="single" w:sz="4" w:space="0" w:color="auto"/>
            </w:tcBorders>
          </w:tcPr>
          <w:p w14:paraId="3265B0C9"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lang w:val="en"/>
              </w:rPr>
              <w:t>$251,072.00</w:t>
            </w:r>
          </w:p>
        </w:tc>
        <w:tc>
          <w:tcPr>
            <w:tcW w:w="1417" w:type="dxa"/>
            <w:tcBorders>
              <w:top w:val="single" w:sz="4" w:space="0" w:color="auto"/>
              <w:left w:val="single" w:sz="4" w:space="0" w:color="auto"/>
              <w:bottom w:val="single" w:sz="4" w:space="0" w:color="auto"/>
              <w:right w:val="single" w:sz="4" w:space="0" w:color="auto"/>
            </w:tcBorders>
          </w:tcPr>
          <w:p w14:paraId="023BDB4D"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lang w:val="en"/>
              </w:rPr>
              <w:t>$212,000</w:t>
            </w:r>
            <w:r>
              <w:rPr>
                <w:rFonts w:ascii="Arial" w:hAnsi="Arial" w:cs="Arial"/>
                <w:sz w:val="20"/>
                <w:szCs w:val="20"/>
                <w:lang w:val="en"/>
              </w:rPr>
              <w:t>.00</w:t>
            </w:r>
          </w:p>
        </w:tc>
        <w:tc>
          <w:tcPr>
            <w:tcW w:w="1418" w:type="dxa"/>
            <w:tcBorders>
              <w:top w:val="single" w:sz="4" w:space="0" w:color="auto"/>
              <w:left w:val="single" w:sz="4" w:space="0" w:color="auto"/>
              <w:bottom w:val="single" w:sz="4" w:space="0" w:color="auto"/>
              <w:right w:val="single" w:sz="4" w:space="0" w:color="auto"/>
            </w:tcBorders>
          </w:tcPr>
          <w:p w14:paraId="4D58C900"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rPr>
              <w:t>$698,389.12</w:t>
            </w:r>
          </w:p>
        </w:tc>
      </w:tr>
      <w:tr w:rsidR="007568B1" w:rsidRPr="008D0D99" w14:paraId="2595E4A8" w14:textId="77777777" w:rsidTr="007877B3">
        <w:trPr>
          <w:jc w:val="center"/>
        </w:trPr>
        <w:tc>
          <w:tcPr>
            <w:tcW w:w="1980" w:type="dxa"/>
            <w:tcBorders>
              <w:top w:val="single" w:sz="4" w:space="0" w:color="auto"/>
              <w:left w:val="single" w:sz="4" w:space="0" w:color="auto"/>
              <w:bottom w:val="single" w:sz="4" w:space="0" w:color="auto"/>
              <w:right w:val="single" w:sz="4" w:space="0" w:color="auto"/>
            </w:tcBorders>
          </w:tcPr>
          <w:p w14:paraId="17A40A34" w14:textId="77777777" w:rsidR="007568B1" w:rsidRPr="00FE1F2D" w:rsidRDefault="007568B1" w:rsidP="007877B3">
            <w:pPr>
              <w:spacing w:before="60" w:after="60" w:line="240" w:lineRule="auto"/>
              <w:rPr>
                <w:rFonts w:ascii="Arial" w:hAnsi="Arial" w:cs="Arial"/>
                <w:b/>
                <w:sz w:val="20"/>
                <w:szCs w:val="20"/>
              </w:rPr>
            </w:pPr>
            <w:r w:rsidRPr="00FE1F2D">
              <w:rPr>
                <w:rFonts w:ascii="Arial" w:hAnsi="Arial" w:cs="Arial"/>
                <w:sz w:val="20"/>
                <w:szCs w:val="20"/>
              </w:rPr>
              <w:t>Ira</w:t>
            </w:r>
            <w:r>
              <w:rPr>
                <w:rFonts w:ascii="Arial" w:hAnsi="Arial" w:cs="Arial"/>
                <w:sz w:val="20"/>
                <w:szCs w:val="20"/>
              </w:rPr>
              <w:t>nian Community Organisation Incorporated</w:t>
            </w:r>
          </w:p>
        </w:tc>
        <w:tc>
          <w:tcPr>
            <w:tcW w:w="1701" w:type="dxa"/>
          </w:tcPr>
          <w:p w14:paraId="0B2820D2" w14:textId="77777777" w:rsidR="007568B1" w:rsidRPr="00FE1F2D" w:rsidRDefault="007568B1" w:rsidP="007877B3">
            <w:pPr>
              <w:spacing w:before="60" w:after="60" w:line="240" w:lineRule="auto"/>
              <w:rPr>
                <w:rFonts w:ascii="Arial" w:hAnsi="Arial" w:cs="Arial"/>
                <w:sz w:val="20"/>
                <w:szCs w:val="20"/>
              </w:rPr>
            </w:pPr>
            <w:r w:rsidRPr="00FE1F2D">
              <w:rPr>
                <w:rFonts w:ascii="Arial" w:hAnsi="Arial" w:cs="Arial"/>
                <w:sz w:val="20"/>
                <w:szCs w:val="20"/>
              </w:rPr>
              <w:t>SA3 Blacktown</w:t>
            </w:r>
          </w:p>
          <w:p w14:paraId="1D7FC70C" w14:textId="77777777" w:rsidR="007568B1" w:rsidRPr="00FE1F2D" w:rsidRDefault="007568B1" w:rsidP="007877B3">
            <w:pPr>
              <w:spacing w:before="60" w:after="60" w:line="240" w:lineRule="auto"/>
              <w:rPr>
                <w:rFonts w:ascii="Arial" w:hAnsi="Arial" w:cs="Arial"/>
                <w:sz w:val="20"/>
                <w:szCs w:val="20"/>
              </w:rPr>
            </w:pPr>
            <w:r w:rsidRPr="00FE1F2D">
              <w:rPr>
                <w:rFonts w:ascii="Arial" w:hAnsi="Arial" w:cs="Arial"/>
                <w:sz w:val="20"/>
                <w:szCs w:val="20"/>
              </w:rPr>
              <w:t>SA3 Fairfield</w:t>
            </w:r>
          </w:p>
          <w:p w14:paraId="4A03D806" w14:textId="77777777" w:rsidR="007568B1" w:rsidRPr="00FE1F2D" w:rsidRDefault="007568B1" w:rsidP="007877B3">
            <w:pPr>
              <w:spacing w:before="60" w:after="60" w:line="240" w:lineRule="auto"/>
              <w:rPr>
                <w:rFonts w:ascii="Arial" w:hAnsi="Arial" w:cs="Arial"/>
                <w:b/>
                <w:sz w:val="20"/>
                <w:szCs w:val="20"/>
              </w:rPr>
            </w:pPr>
            <w:r w:rsidRPr="00FE1F2D">
              <w:rPr>
                <w:rFonts w:ascii="Arial" w:hAnsi="Arial" w:cs="Arial"/>
                <w:sz w:val="20"/>
                <w:szCs w:val="20"/>
              </w:rPr>
              <w:t>SA3 Parramatta</w:t>
            </w:r>
          </w:p>
        </w:tc>
        <w:tc>
          <w:tcPr>
            <w:tcW w:w="1417" w:type="dxa"/>
            <w:tcBorders>
              <w:top w:val="single" w:sz="4" w:space="0" w:color="auto"/>
              <w:left w:val="single" w:sz="4" w:space="0" w:color="auto"/>
              <w:bottom w:val="single" w:sz="4" w:space="0" w:color="auto"/>
              <w:right w:val="single" w:sz="4" w:space="0" w:color="auto"/>
            </w:tcBorders>
          </w:tcPr>
          <w:p w14:paraId="10832EA8"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lang w:val="en"/>
              </w:rPr>
              <w:t>$</w:t>
            </w:r>
            <w:r>
              <w:rPr>
                <w:rFonts w:ascii="Arial" w:hAnsi="Arial" w:cs="Arial"/>
                <w:sz w:val="20"/>
                <w:szCs w:val="20"/>
                <w:lang w:val="en"/>
              </w:rPr>
              <w:t>107,140.00</w:t>
            </w:r>
          </w:p>
        </w:tc>
        <w:tc>
          <w:tcPr>
            <w:tcW w:w="1418" w:type="dxa"/>
            <w:tcBorders>
              <w:top w:val="single" w:sz="4" w:space="0" w:color="auto"/>
              <w:left w:val="single" w:sz="4" w:space="0" w:color="auto"/>
              <w:bottom w:val="single" w:sz="4" w:space="0" w:color="auto"/>
              <w:right w:val="single" w:sz="4" w:space="0" w:color="auto"/>
            </w:tcBorders>
          </w:tcPr>
          <w:p w14:paraId="13A199A8"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lang w:val="en"/>
              </w:rPr>
              <w:t>$</w:t>
            </w:r>
            <w:r>
              <w:rPr>
                <w:rFonts w:ascii="Arial" w:hAnsi="Arial" w:cs="Arial"/>
                <w:sz w:val="20"/>
                <w:szCs w:val="20"/>
                <w:lang w:val="en"/>
              </w:rPr>
              <w:t>129,693.60</w:t>
            </w:r>
          </w:p>
        </w:tc>
        <w:tc>
          <w:tcPr>
            <w:tcW w:w="1417" w:type="dxa"/>
            <w:tcBorders>
              <w:top w:val="single" w:sz="4" w:space="0" w:color="auto"/>
              <w:left w:val="single" w:sz="4" w:space="0" w:color="auto"/>
              <w:bottom w:val="single" w:sz="4" w:space="0" w:color="auto"/>
              <w:right w:val="single" w:sz="4" w:space="0" w:color="auto"/>
            </w:tcBorders>
          </w:tcPr>
          <w:p w14:paraId="39908578"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lang w:val="en"/>
              </w:rPr>
              <w:t>$130,000</w:t>
            </w:r>
            <w:r>
              <w:rPr>
                <w:rFonts w:ascii="Arial" w:hAnsi="Arial" w:cs="Arial"/>
                <w:sz w:val="20"/>
                <w:szCs w:val="20"/>
                <w:lang w:val="en"/>
              </w:rPr>
              <w:t>.00</w:t>
            </w:r>
          </w:p>
        </w:tc>
        <w:tc>
          <w:tcPr>
            <w:tcW w:w="1418" w:type="dxa"/>
            <w:tcBorders>
              <w:top w:val="single" w:sz="4" w:space="0" w:color="auto"/>
              <w:left w:val="single" w:sz="4" w:space="0" w:color="auto"/>
              <w:bottom w:val="single" w:sz="4" w:space="0" w:color="auto"/>
              <w:right w:val="single" w:sz="4" w:space="0" w:color="auto"/>
            </w:tcBorders>
          </w:tcPr>
          <w:p w14:paraId="785D1259" w14:textId="77777777" w:rsidR="007568B1" w:rsidRPr="00F321C8" w:rsidRDefault="007568B1" w:rsidP="007877B3">
            <w:pPr>
              <w:spacing w:before="60" w:after="60" w:line="240" w:lineRule="auto"/>
              <w:rPr>
                <w:rFonts w:ascii="Arial" w:hAnsi="Arial" w:cs="Arial"/>
                <w:b/>
                <w:sz w:val="20"/>
                <w:szCs w:val="20"/>
              </w:rPr>
            </w:pPr>
            <w:r w:rsidRPr="00F321C8">
              <w:rPr>
                <w:rFonts w:ascii="Arial" w:hAnsi="Arial" w:cs="Arial"/>
                <w:sz w:val="20"/>
                <w:szCs w:val="20"/>
              </w:rPr>
              <w:t>$</w:t>
            </w:r>
            <w:r>
              <w:rPr>
                <w:rFonts w:ascii="Arial" w:hAnsi="Arial" w:cs="Arial"/>
                <w:sz w:val="20"/>
                <w:szCs w:val="20"/>
              </w:rPr>
              <w:t>366,833.60</w:t>
            </w:r>
          </w:p>
        </w:tc>
      </w:tr>
    </w:tbl>
    <w:p w14:paraId="0271D27B" w14:textId="77777777" w:rsidR="007568B1" w:rsidRDefault="007568B1" w:rsidP="007568B1">
      <w:pPr>
        <w:pStyle w:val="ListBullet"/>
        <w:numPr>
          <w:ilvl w:val="0"/>
          <w:numId w:val="0"/>
        </w:numPr>
        <w:spacing w:before="120" w:after="120"/>
      </w:pPr>
      <w:r w:rsidRPr="00FE1F2D">
        <w:t>No further organisa</w:t>
      </w:r>
      <w:r>
        <w:t>tions will be invited to apply.</w:t>
      </w:r>
    </w:p>
    <w:p w14:paraId="63A47D2B" w14:textId="77777777" w:rsidR="007568B1" w:rsidRPr="00ED12FB" w:rsidRDefault="007568B1" w:rsidP="007568B1">
      <w:pPr>
        <w:pStyle w:val="NoSpacing"/>
        <w:spacing w:before="120" w:after="120" w:line="280" w:lineRule="atLeast"/>
        <w:rPr>
          <w:rStyle w:val="highlightedtextChar"/>
          <w:rFonts w:ascii="Arial" w:eastAsia="Times New Roman" w:hAnsi="Arial" w:cs="Times New Roman"/>
          <w:b w:val="0"/>
          <w:color w:val="auto"/>
          <w:sz w:val="20"/>
          <w:szCs w:val="20"/>
        </w:rPr>
      </w:pPr>
      <w:r w:rsidRPr="00FE1F2D">
        <w:rPr>
          <w:rFonts w:ascii="Arial" w:hAnsi="Arial"/>
          <w:sz w:val="20"/>
          <w:szCs w:val="20"/>
        </w:rPr>
        <w:t xml:space="preserve">Applications from consortia are acceptable, as long as the lead applicant is an eligible organisation as per the list above who is solely accountable to the Commonwealth for the delivery of </w:t>
      </w:r>
      <w:r>
        <w:rPr>
          <w:rFonts w:ascii="Arial" w:hAnsi="Arial"/>
          <w:sz w:val="20"/>
          <w:szCs w:val="20"/>
        </w:rPr>
        <w:t>grant</w:t>
      </w:r>
      <w:r w:rsidRPr="00FE1F2D">
        <w:rPr>
          <w:rFonts w:ascii="Arial" w:hAnsi="Arial"/>
          <w:sz w:val="20"/>
          <w:szCs w:val="20"/>
        </w:rPr>
        <w:t xml:space="preserve"> activities. Eligible organisations can form a consortia with ineligible organisations. For mor</w:t>
      </w:r>
      <w:r>
        <w:rPr>
          <w:rFonts w:ascii="Arial" w:hAnsi="Arial"/>
          <w:sz w:val="20"/>
          <w:szCs w:val="20"/>
        </w:rPr>
        <w:t>e information, please refer to S</w:t>
      </w:r>
      <w:r w:rsidRPr="00FE1F2D">
        <w:rPr>
          <w:rFonts w:ascii="Arial" w:hAnsi="Arial"/>
          <w:sz w:val="20"/>
          <w:szCs w:val="20"/>
        </w:rPr>
        <w:t>ection 7.2</w:t>
      </w:r>
      <w:r w:rsidRPr="00FE1F2D">
        <w:rPr>
          <w:rFonts w:ascii="Arial" w:hAnsi="Arial" w:cs="Arial"/>
          <w:sz w:val="20"/>
          <w:szCs w:val="20"/>
          <w:vertAlign w:val="superscript"/>
        </w:rPr>
        <w:footnoteReference w:id="4"/>
      </w:r>
      <w:r w:rsidRPr="00FE1F2D">
        <w:rPr>
          <w:rFonts w:ascii="Arial" w:hAnsi="Arial" w:cs="Arial"/>
          <w:sz w:val="20"/>
          <w:szCs w:val="20"/>
        </w:rPr>
        <w:t>.</w:t>
      </w:r>
      <w:bookmarkStart w:id="17" w:name="_Toc529276510"/>
      <w:bookmarkStart w:id="18" w:name="_Toc529276511"/>
      <w:bookmarkStart w:id="19" w:name="_Toc529276512"/>
      <w:bookmarkStart w:id="20" w:name="_Toc529276513"/>
      <w:bookmarkStart w:id="21" w:name="_Toc529276514"/>
      <w:bookmarkStart w:id="22" w:name="_Toc529276515"/>
      <w:bookmarkStart w:id="23" w:name="_Toc529276516"/>
      <w:bookmarkStart w:id="24" w:name="_Toc529276517"/>
      <w:bookmarkStart w:id="25" w:name="_Toc529276518"/>
      <w:bookmarkEnd w:id="17"/>
      <w:bookmarkEnd w:id="18"/>
      <w:bookmarkEnd w:id="19"/>
      <w:bookmarkEnd w:id="20"/>
      <w:bookmarkEnd w:id="21"/>
      <w:bookmarkEnd w:id="22"/>
      <w:bookmarkEnd w:id="23"/>
      <w:bookmarkEnd w:id="24"/>
      <w:bookmarkEnd w:id="25"/>
    </w:p>
    <w:p w14:paraId="3862B536" w14:textId="77777777" w:rsidR="007568B1" w:rsidRDefault="007568B1" w:rsidP="007568B1">
      <w:pPr>
        <w:pStyle w:val="Heading3"/>
      </w:pPr>
      <w:bookmarkStart w:id="26" w:name="_Toc494290495"/>
      <w:bookmarkStart w:id="27" w:name="_Toc3559228"/>
      <w:bookmarkEnd w:id="26"/>
      <w:r>
        <w:t>Who is not eligible to apply for a grant?</w:t>
      </w:r>
      <w:bookmarkEnd w:id="27"/>
    </w:p>
    <w:p w14:paraId="3DCEBA40" w14:textId="77777777" w:rsidR="007568B1" w:rsidRPr="00FE1F2D" w:rsidRDefault="007568B1" w:rsidP="007568B1">
      <w:pPr>
        <w:spacing w:before="120"/>
      </w:pPr>
      <w:r w:rsidRPr="00FE1F2D">
        <w:t xml:space="preserve">You are not eligible to apply for this </w:t>
      </w:r>
      <w:r>
        <w:t>grant</w:t>
      </w:r>
      <w:r w:rsidRPr="00FE1F2D">
        <w:t xml:space="preserve"> opportunity if you have not received an invitation to apply through </w:t>
      </w:r>
      <w:hyperlink r:id="rId31" w:history="1">
        <w:r>
          <w:rPr>
            <w:rStyle w:val="Hyperlink"/>
          </w:rPr>
          <w:t>Grant</w:t>
        </w:r>
        <w:r w:rsidRPr="00452C26">
          <w:rPr>
            <w:rStyle w:val="Hyperlink"/>
          </w:rPr>
          <w:t>Connect</w:t>
        </w:r>
      </w:hyperlink>
      <w:r w:rsidRPr="009E283B">
        <w:t xml:space="preserve"> </w:t>
      </w:r>
      <w:r w:rsidRPr="00FE1F2D">
        <w:t>and your organisation is not listed as an eligible invited organisation at Section 4.1.</w:t>
      </w:r>
    </w:p>
    <w:p w14:paraId="3ECBF6BA" w14:textId="77777777" w:rsidR="007568B1" w:rsidRDefault="007568B1" w:rsidP="007568B1">
      <w:pPr>
        <w:pStyle w:val="Heading3"/>
      </w:pPr>
      <w:bookmarkStart w:id="28" w:name="_Toc3559229"/>
      <w:r>
        <w:t>What qualifications, skills or checks are required?</w:t>
      </w:r>
      <w:bookmarkEnd w:id="28"/>
    </w:p>
    <w:p w14:paraId="31C5105E" w14:textId="77777777" w:rsidR="007568B1" w:rsidRPr="00FE1F2D" w:rsidRDefault="007568B1" w:rsidP="007568B1">
      <w:pPr>
        <w:spacing w:before="120"/>
      </w:pPr>
      <w:r w:rsidRPr="00FE1F2D">
        <w:t xml:space="preserve">If you are successful, personnel should have and service providers should employ workers with a range of backgrounds, qualifications, skills and knowledge, relevant to providing culturally </w:t>
      </w:r>
      <w:r w:rsidRPr="00FE1F2D">
        <w:lastRenderedPageBreak/>
        <w:t>competent services that address the particular needs of humanitarian entrants and other vulnerable mi</w:t>
      </w:r>
      <w:r>
        <w:t>grant</w:t>
      </w:r>
      <w:r w:rsidRPr="00FE1F2D">
        <w:t>s.</w:t>
      </w:r>
    </w:p>
    <w:p w14:paraId="7011B4F8" w14:textId="77777777" w:rsidR="007568B1" w:rsidRPr="00FE1F2D" w:rsidRDefault="007568B1" w:rsidP="007568B1">
      <w:pPr>
        <w:spacing w:before="120"/>
      </w:pPr>
      <w:r w:rsidRPr="00FE1F2D">
        <w:t xml:space="preserve">While there are no minimum formal qualifications required for staff working on the </w:t>
      </w:r>
      <w:r>
        <w:t>grant</w:t>
      </w:r>
      <w:r w:rsidRPr="00FE1F2D">
        <w:t xml:space="preserve"> activity, it is expected that if you accept a </w:t>
      </w:r>
      <w:r>
        <w:t>grant</w:t>
      </w:r>
      <w:r w:rsidRPr="00FE1F2D">
        <w:t xml:space="preserve"> offer, you will ensure that anyone working directly with vulnerable people has the appropriate qualifications under relevant state of territory legislation.</w:t>
      </w:r>
    </w:p>
    <w:p w14:paraId="72589197" w14:textId="77777777" w:rsidR="007568B1" w:rsidRDefault="007568B1" w:rsidP="007568B1">
      <w:pPr>
        <w:pStyle w:val="Heading2"/>
      </w:pPr>
      <w:bookmarkStart w:id="29" w:name="_Toc3559230"/>
      <w:r>
        <w:t>What the grant money can be used for</w:t>
      </w:r>
      <w:bookmarkEnd w:id="29"/>
    </w:p>
    <w:p w14:paraId="4AD645AA" w14:textId="77777777" w:rsidR="007568B1" w:rsidRDefault="007568B1" w:rsidP="007568B1">
      <w:pPr>
        <w:pStyle w:val="Heading3"/>
      </w:pPr>
      <w:bookmarkStart w:id="30" w:name="_Toc3559231"/>
      <w:r w:rsidRPr="005E1F31">
        <w:t xml:space="preserve">Eligible </w:t>
      </w:r>
      <w:r>
        <w:t>grant</w:t>
      </w:r>
      <w:r w:rsidRPr="005E1F31">
        <w:t xml:space="preserve"> </w:t>
      </w:r>
      <w:r>
        <w:t>a</w:t>
      </w:r>
      <w:r w:rsidRPr="005E1F31">
        <w:t>ctivities</w:t>
      </w:r>
      <w:bookmarkEnd w:id="30"/>
    </w:p>
    <w:p w14:paraId="193B75AF" w14:textId="77777777" w:rsidR="007568B1" w:rsidRPr="00FE1F2D" w:rsidRDefault="007568B1" w:rsidP="007568B1">
      <w:pPr>
        <w:spacing w:before="120"/>
      </w:pPr>
      <w:bookmarkStart w:id="31" w:name="_Toc506537727"/>
      <w:bookmarkStart w:id="32" w:name="_Toc506537728"/>
      <w:bookmarkStart w:id="33" w:name="_Toc506537729"/>
      <w:bookmarkStart w:id="34" w:name="_Toc506537730"/>
      <w:bookmarkStart w:id="35" w:name="_Toc506537731"/>
      <w:bookmarkStart w:id="36" w:name="_Toc506537732"/>
      <w:bookmarkStart w:id="37" w:name="_Toc506537733"/>
      <w:bookmarkStart w:id="38" w:name="_Toc506537734"/>
      <w:bookmarkStart w:id="39" w:name="_Toc506537735"/>
      <w:bookmarkStart w:id="40" w:name="_Toc506537736"/>
      <w:bookmarkStart w:id="41" w:name="_Toc506537737"/>
      <w:bookmarkStart w:id="42" w:name="_Toc506537738"/>
      <w:bookmarkStart w:id="43" w:name="_Toc506537739"/>
      <w:bookmarkStart w:id="44" w:name="_Toc506537740"/>
      <w:bookmarkStart w:id="45" w:name="_Toc506537741"/>
      <w:bookmarkStart w:id="46" w:name="_Toc506537742"/>
      <w:bookmarkStart w:id="47" w:name="_Toc531860441"/>
      <w:bookmarkStart w:id="48" w:name="_Toc531860442"/>
      <w:bookmarkStart w:id="49" w:name="_Toc531860443"/>
      <w:bookmarkStart w:id="50" w:name="_Toc531860444"/>
      <w:bookmarkStart w:id="51" w:name="_Toc531860445"/>
      <w:bookmarkStart w:id="52" w:name="_Toc531860446"/>
      <w:bookmarkStart w:id="53" w:name="_Toc531860447"/>
      <w:bookmarkStart w:id="54" w:name="_Ref468355814"/>
      <w:bookmarkStart w:id="55" w:name="_Toc383003258"/>
      <w:bookmarkStart w:id="56" w:name="_Toc16484426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FE1F2D">
        <w:t xml:space="preserve">You can only spend funds on eligible </w:t>
      </w:r>
      <w:r>
        <w:t>grant</w:t>
      </w:r>
      <w:r w:rsidRPr="00FE1F2D">
        <w:t xml:space="preserve"> activities listed in your </w:t>
      </w:r>
      <w:r>
        <w:t>grant agreement</w:t>
      </w:r>
      <w:r w:rsidRPr="00FE1F2D">
        <w:t xml:space="preserve"> and they must directly relate to the delivery of services.</w:t>
      </w:r>
    </w:p>
    <w:p w14:paraId="191E75C5" w14:textId="77777777" w:rsidR="007568B1" w:rsidRPr="00FE1F2D" w:rsidRDefault="007568B1" w:rsidP="007568B1">
      <w:pPr>
        <w:spacing w:before="120"/>
      </w:pPr>
      <w:r w:rsidRPr="00FE1F2D">
        <w:t xml:space="preserve">SETS – Client Services </w:t>
      </w:r>
      <w:r>
        <w:t>grant</w:t>
      </w:r>
      <w:r w:rsidRPr="00FE1F2D">
        <w:t xml:space="preserve">s can be used for, but not limited to, the following eligible activities: </w:t>
      </w:r>
    </w:p>
    <w:p w14:paraId="4098CD13" w14:textId="58DD5190" w:rsidR="007568B1" w:rsidRPr="00FE1F2D" w:rsidRDefault="007568B1" w:rsidP="0087683E">
      <w:pPr>
        <w:pStyle w:val="ListBullet"/>
      </w:pPr>
      <w:r w:rsidRPr="0087683E">
        <w:rPr>
          <w:rFonts w:eastAsia="Arial"/>
        </w:rPr>
        <w:t>Intake services that provide the opportunity for an initial needs-based assessment to be undertaken that determines the level of support required by the client</w:t>
      </w:r>
      <w:r w:rsidR="007877B3" w:rsidRPr="0087683E">
        <w:rPr>
          <w:rFonts w:eastAsia="Arial"/>
        </w:rPr>
        <w:t>.</w:t>
      </w:r>
    </w:p>
    <w:p w14:paraId="410028D2" w14:textId="45DFBA51" w:rsidR="007568B1" w:rsidRPr="00FE1F2D" w:rsidRDefault="007568B1" w:rsidP="0087683E">
      <w:pPr>
        <w:pStyle w:val="ListBullet"/>
      </w:pPr>
      <w:r w:rsidRPr="0087683E">
        <w:rPr>
          <w:rFonts w:eastAsia="Arial"/>
        </w:rPr>
        <w:t>Low-intensity casework support to clients requiring minimal assistance to meet their settlement needs and achieve their goals</w:t>
      </w:r>
      <w:r w:rsidR="007877B3" w:rsidRPr="0087683E">
        <w:rPr>
          <w:rFonts w:eastAsia="Arial"/>
        </w:rPr>
        <w:t>.</w:t>
      </w:r>
    </w:p>
    <w:p w14:paraId="3E2ACEBD" w14:textId="0B5C161C" w:rsidR="007568B1" w:rsidRPr="00FE1F2D" w:rsidRDefault="007568B1" w:rsidP="0087683E">
      <w:pPr>
        <w:pStyle w:val="ListBullet"/>
      </w:pPr>
      <w:r w:rsidRPr="0087683E">
        <w:rPr>
          <w:rFonts w:eastAsia="Arial"/>
        </w:rPr>
        <w:t>Medium-intensity casework support to clients who are identified as requiring this through the needs assessment, which targets individual needs</w:t>
      </w:r>
      <w:r w:rsidR="007877B3" w:rsidRPr="0087683E">
        <w:rPr>
          <w:rFonts w:eastAsia="Arial"/>
        </w:rPr>
        <w:t>.</w:t>
      </w:r>
    </w:p>
    <w:p w14:paraId="0B4A0952" w14:textId="1A93001D" w:rsidR="007568B1" w:rsidRPr="00FE1F2D" w:rsidRDefault="007568B1" w:rsidP="0087683E">
      <w:pPr>
        <w:pStyle w:val="ListBullet"/>
      </w:pPr>
      <w:r w:rsidRPr="0087683E">
        <w:rPr>
          <w:rFonts w:eastAsia="Arial"/>
        </w:rPr>
        <w:t>Delivery of services targeted at youth</w:t>
      </w:r>
      <w:r w:rsidR="007877B3" w:rsidRPr="0087683E">
        <w:rPr>
          <w:rFonts w:eastAsia="Arial"/>
        </w:rPr>
        <w:t>.</w:t>
      </w:r>
    </w:p>
    <w:p w14:paraId="32544E68" w14:textId="35EE08C7" w:rsidR="007568B1" w:rsidRPr="00FE1F2D" w:rsidRDefault="007568B1" w:rsidP="0087683E">
      <w:pPr>
        <w:pStyle w:val="ListBullet"/>
      </w:pPr>
      <w:r w:rsidRPr="0087683E">
        <w:rPr>
          <w:rFonts w:eastAsia="Arial"/>
        </w:rPr>
        <w:t>Casework and targeted group sessions that align with the nine priority areas identified in the National Settlement Framework</w:t>
      </w:r>
      <w:r w:rsidR="007877B3" w:rsidRPr="0087683E">
        <w:rPr>
          <w:rFonts w:eastAsia="Arial"/>
        </w:rPr>
        <w:t>.</w:t>
      </w:r>
    </w:p>
    <w:p w14:paraId="6750A76C" w14:textId="4811F08D" w:rsidR="007568B1" w:rsidRPr="00FE1F2D" w:rsidRDefault="007568B1" w:rsidP="0087683E">
      <w:pPr>
        <w:pStyle w:val="ListBullet"/>
      </w:pPr>
      <w:r w:rsidRPr="0087683E">
        <w:rPr>
          <w:rFonts w:eastAsia="Arial"/>
        </w:rPr>
        <w:t>Strengthening relationships with other settlement and mainstream services including advocating with services for improved referral pathways and developing informal or formal partnerships</w:t>
      </w:r>
      <w:r w:rsidR="007877B3" w:rsidRPr="0087683E">
        <w:rPr>
          <w:rFonts w:eastAsia="Arial"/>
        </w:rPr>
        <w:t>.</w:t>
      </w:r>
    </w:p>
    <w:p w14:paraId="1C33CA8E" w14:textId="77777777" w:rsidR="007568B1" w:rsidRPr="00FE1F2D" w:rsidRDefault="007568B1" w:rsidP="0087683E">
      <w:pPr>
        <w:pStyle w:val="ListBullet"/>
      </w:pPr>
      <w:r w:rsidRPr="0087683E">
        <w:rPr>
          <w:rFonts w:eastAsia="Arial"/>
        </w:rPr>
        <w:t>Conducting community consultations to discuss issues, needs, and challenges affecting the settlement and integration of specific cohorts.</w:t>
      </w:r>
    </w:p>
    <w:p w14:paraId="09EE67C8" w14:textId="77777777" w:rsidR="007568B1" w:rsidRPr="00FE1F2D" w:rsidRDefault="007568B1" w:rsidP="007568B1">
      <w:pPr>
        <w:spacing w:before="120"/>
      </w:pPr>
      <w:r w:rsidRPr="00FE1F2D">
        <w:t>More details on eligi</w:t>
      </w:r>
      <w:r>
        <w:t xml:space="preserve">ble activities can be found in </w:t>
      </w:r>
      <w:r w:rsidRPr="00FE1F2D">
        <w:t xml:space="preserve">Section 2.1 </w:t>
      </w:r>
      <w:r>
        <w:t xml:space="preserve">- </w:t>
      </w:r>
      <w:r w:rsidRPr="00FE1F2D">
        <w:t xml:space="preserve">About this </w:t>
      </w:r>
      <w:r>
        <w:t>grant</w:t>
      </w:r>
      <w:r w:rsidRPr="00FE1F2D">
        <w:t xml:space="preserve"> opportunity and Expected Deliverables above.</w:t>
      </w:r>
    </w:p>
    <w:p w14:paraId="1A100DFE" w14:textId="77777777" w:rsidR="007568B1" w:rsidRDefault="007568B1" w:rsidP="007568B1">
      <w:pPr>
        <w:pStyle w:val="Heading3"/>
      </w:pPr>
      <w:bookmarkStart w:id="57" w:name="_Toc3559232"/>
      <w:r>
        <w:t>Eligible expenditure</w:t>
      </w:r>
      <w:bookmarkEnd w:id="57"/>
      <w:r>
        <w:t xml:space="preserve"> </w:t>
      </w:r>
    </w:p>
    <w:p w14:paraId="74F594CC" w14:textId="77777777" w:rsidR="007568B1" w:rsidRPr="00FE1F2D" w:rsidRDefault="007568B1" w:rsidP="007568B1">
      <w:pPr>
        <w:spacing w:before="120"/>
        <w:rPr>
          <w:rFonts w:cs="Arial"/>
        </w:rPr>
      </w:pPr>
      <w:bookmarkStart w:id="58" w:name="_Toc506537745"/>
      <w:bookmarkStart w:id="59" w:name="_Toc506537746"/>
      <w:bookmarkStart w:id="60" w:name="_Toc506537747"/>
      <w:bookmarkStart w:id="61" w:name="_Toc506537748"/>
      <w:bookmarkStart w:id="62" w:name="_Toc506537749"/>
      <w:bookmarkStart w:id="63" w:name="_Toc506537751"/>
      <w:bookmarkStart w:id="64" w:name="_Toc506537752"/>
      <w:bookmarkStart w:id="65" w:name="_Toc506537753"/>
      <w:bookmarkStart w:id="66" w:name="_Toc506537754"/>
      <w:bookmarkStart w:id="67" w:name="_Toc506537755"/>
      <w:bookmarkStart w:id="68" w:name="_Toc506537756"/>
      <w:bookmarkStart w:id="69" w:name="_Toc506537757"/>
      <w:bookmarkEnd w:id="54"/>
      <w:bookmarkEnd w:id="58"/>
      <w:bookmarkEnd w:id="59"/>
      <w:bookmarkEnd w:id="60"/>
      <w:bookmarkEnd w:id="61"/>
      <w:bookmarkEnd w:id="62"/>
      <w:bookmarkEnd w:id="63"/>
      <w:bookmarkEnd w:id="64"/>
      <w:bookmarkEnd w:id="65"/>
      <w:bookmarkEnd w:id="66"/>
      <w:bookmarkEnd w:id="67"/>
      <w:bookmarkEnd w:id="68"/>
      <w:bookmarkEnd w:id="69"/>
      <w:r w:rsidRPr="00FE1F2D">
        <w:rPr>
          <w:rFonts w:cs="Arial"/>
        </w:rPr>
        <w:t xml:space="preserve">You can only spend the </w:t>
      </w:r>
      <w:r>
        <w:rPr>
          <w:rFonts w:cs="Arial"/>
        </w:rPr>
        <w:t>grant</w:t>
      </w:r>
      <w:r w:rsidRPr="00FE1F2D">
        <w:rPr>
          <w:rFonts w:cs="Arial"/>
        </w:rPr>
        <w:t xml:space="preserve"> on eligible expenditure you have incurred on eligible </w:t>
      </w:r>
      <w:r>
        <w:rPr>
          <w:rFonts w:cs="Arial"/>
        </w:rPr>
        <w:t>grant</w:t>
      </w:r>
      <w:r w:rsidRPr="00FE1F2D">
        <w:rPr>
          <w:rFonts w:cs="Arial"/>
        </w:rPr>
        <w:t xml:space="preserve"> activities.</w:t>
      </w:r>
    </w:p>
    <w:p w14:paraId="0C5A59E9" w14:textId="77777777" w:rsidR="007568B1" w:rsidRPr="00FE1F2D" w:rsidRDefault="007568B1" w:rsidP="007568B1">
      <w:pPr>
        <w:spacing w:before="120"/>
        <w:rPr>
          <w:rFonts w:cs="Arial"/>
        </w:rPr>
      </w:pPr>
      <w:r w:rsidRPr="00FE1F2D">
        <w:rPr>
          <w:rFonts w:cs="Arial"/>
        </w:rPr>
        <w:t xml:space="preserve">The funding for this </w:t>
      </w:r>
      <w:r>
        <w:rPr>
          <w:rFonts w:cs="Arial"/>
        </w:rPr>
        <w:t>grant</w:t>
      </w:r>
      <w:r w:rsidRPr="00FE1F2D">
        <w:rPr>
          <w:rFonts w:cs="Arial"/>
        </w:rPr>
        <w:t xml:space="preserve"> </w:t>
      </w:r>
      <w:r>
        <w:rPr>
          <w:rFonts w:cs="Arial"/>
        </w:rPr>
        <w:t>o</w:t>
      </w:r>
      <w:r w:rsidRPr="00FE1F2D">
        <w:rPr>
          <w:rFonts w:cs="Arial"/>
        </w:rPr>
        <w:t xml:space="preserve">pportunity must be spent on providing settlement and support services to the target client. Costs that the </w:t>
      </w:r>
      <w:r>
        <w:rPr>
          <w:rFonts w:cs="Arial"/>
        </w:rPr>
        <w:t>grant</w:t>
      </w:r>
      <w:r w:rsidRPr="00FE1F2D">
        <w:rPr>
          <w:rFonts w:cs="Arial"/>
        </w:rPr>
        <w:t xml:space="preserve"> can be used for are: </w:t>
      </w:r>
    </w:p>
    <w:p w14:paraId="0138069B" w14:textId="1FF35CE0" w:rsidR="007568B1" w:rsidRPr="0087683E" w:rsidRDefault="007877B3" w:rsidP="0087683E">
      <w:pPr>
        <w:pStyle w:val="ListBullet"/>
        <w:rPr>
          <w:rFonts w:eastAsia="Arial"/>
        </w:rPr>
      </w:pPr>
      <w:r w:rsidRPr="0087683E">
        <w:rPr>
          <w:rFonts w:eastAsia="Arial"/>
        </w:rPr>
        <w:t>s</w:t>
      </w:r>
      <w:r w:rsidR="007568B1" w:rsidRPr="0087683E">
        <w:rPr>
          <w:rFonts w:eastAsia="Arial"/>
        </w:rPr>
        <w:t>taff salaries and on-costs which can be directly attributed to the provision of the grant program in the identified service area or areas as per the grant agreement</w:t>
      </w:r>
    </w:p>
    <w:p w14:paraId="5D621C4F" w14:textId="3F481CB3" w:rsidR="007568B1" w:rsidRPr="0087683E" w:rsidRDefault="007877B3" w:rsidP="0087683E">
      <w:pPr>
        <w:pStyle w:val="ListBullet"/>
        <w:rPr>
          <w:rFonts w:eastAsia="Arial"/>
        </w:rPr>
      </w:pPr>
      <w:r w:rsidRPr="0087683E">
        <w:rPr>
          <w:rFonts w:eastAsia="Arial"/>
        </w:rPr>
        <w:t>e</w:t>
      </w:r>
      <w:r w:rsidR="007568B1" w:rsidRPr="0087683E">
        <w:rPr>
          <w:rFonts w:eastAsia="Arial"/>
        </w:rPr>
        <w:t>mployee training for paid and unpaid staff including Committee and Board members, that is relevant, appropriate and in line with the grant program</w:t>
      </w:r>
    </w:p>
    <w:p w14:paraId="17E4DECA" w14:textId="7362F61F" w:rsidR="007568B1" w:rsidRPr="0087683E" w:rsidRDefault="007877B3" w:rsidP="0087683E">
      <w:pPr>
        <w:pStyle w:val="ListBullet"/>
        <w:rPr>
          <w:rFonts w:eastAsia="Arial"/>
        </w:rPr>
      </w:pPr>
      <w:r w:rsidRPr="0087683E">
        <w:rPr>
          <w:rFonts w:eastAsia="Arial"/>
        </w:rPr>
        <w:t>o</w:t>
      </w:r>
      <w:r w:rsidR="007568B1" w:rsidRPr="0087683E">
        <w:rPr>
          <w:rFonts w:eastAsia="Arial"/>
        </w:rPr>
        <w:t xml:space="preserve">perating and administration expenses directly related to the delivery services as per the grant agreement, such as: </w:t>
      </w:r>
    </w:p>
    <w:p w14:paraId="4243B364"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telephones</w:t>
      </w:r>
    </w:p>
    <w:p w14:paraId="3A45CC29"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rent and outgoings</w:t>
      </w:r>
    </w:p>
    <w:p w14:paraId="22B609A7"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computer/ IT/website/software</w:t>
      </w:r>
    </w:p>
    <w:p w14:paraId="3C9D0D75"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insurance</w:t>
      </w:r>
    </w:p>
    <w:p w14:paraId="701A0769"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lastRenderedPageBreak/>
        <w:t>utilities</w:t>
      </w:r>
    </w:p>
    <w:p w14:paraId="319B330B"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postage</w:t>
      </w:r>
    </w:p>
    <w:p w14:paraId="2A01F60E"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stationery and printing</w:t>
      </w:r>
    </w:p>
    <w:p w14:paraId="28492E63"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Pr>
          <w:rFonts w:ascii="Arial" w:hAnsi="Arial" w:cs="Arial"/>
          <w:sz w:val="20"/>
          <w:szCs w:val="20"/>
        </w:rPr>
        <w:t>accounting and auditing</w:t>
      </w:r>
    </w:p>
    <w:p w14:paraId="1A854164"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sidRPr="00FE1F2D">
        <w:rPr>
          <w:rFonts w:ascii="Arial" w:hAnsi="Arial" w:cs="Arial"/>
          <w:sz w:val="20"/>
          <w:szCs w:val="20"/>
        </w:rPr>
        <w:t>interstate travel/accommodation costs</w:t>
      </w:r>
    </w:p>
    <w:p w14:paraId="052A605D" w14:textId="77777777" w:rsidR="007568B1" w:rsidRPr="00FE1F2D" w:rsidRDefault="007568B1" w:rsidP="00C342EE">
      <w:pPr>
        <w:pStyle w:val="Bullet2"/>
        <w:numPr>
          <w:ilvl w:val="0"/>
          <w:numId w:val="24"/>
        </w:numPr>
        <w:spacing w:after="120"/>
        <w:ind w:left="1281" w:hanging="357"/>
        <w:rPr>
          <w:rFonts w:ascii="Arial" w:hAnsi="Arial" w:cs="Arial"/>
          <w:sz w:val="20"/>
          <w:szCs w:val="20"/>
        </w:rPr>
      </w:pPr>
      <w:r w:rsidRPr="00FE1F2D">
        <w:rPr>
          <w:rFonts w:ascii="Arial" w:hAnsi="Arial" w:cs="Arial"/>
          <w:sz w:val="20"/>
          <w:szCs w:val="20"/>
        </w:rPr>
        <w:t xml:space="preserve">assets, including motor vehicle purchase or lease that can be directly attributed to </w:t>
      </w:r>
      <w:r>
        <w:rPr>
          <w:rFonts w:ascii="Arial" w:hAnsi="Arial" w:cs="Arial"/>
          <w:sz w:val="20"/>
          <w:szCs w:val="20"/>
        </w:rPr>
        <w:t>meeting agreement</w:t>
      </w:r>
      <w:r w:rsidRPr="00FE1F2D">
        <w:rPr>
          <w:rFonts w:ascii="Arial" w:hAnsi="Arial" w:cs="Arial"/>
          <w:sz w:val="20"/>
          <w:szCs w:val="20"/>
        </w:rPr>
        <w:t xml:space="preserve"> deliverables.</w:t>
      </w:r>
    </w:p>
    <w:p w14:paraId="45BF8AC1" w14:textId="77777777" w:rsidR="007568B1" w:rsidRPr="00C330AE" w:rsidRDefault="007568B1" w:rsidP="007568B1">
      <w:pPr>
        <w:pStyle w:val="Heading3"/>
      </w:pPr>
      <w:bookmarkStart w:id="70" w:name="_Toc3559233"/>
      <w:r>
        <w:t>What the grant money cannot be used for</w:t>
      </w:r>
      <w:bookmarkEnd w:id="70"/>
    </w:p>
    <w:p w14:paraId="603AE614" w14:textId="77777777" w:rsidR="007568B1" w:rsidRPr="00FE1F2D" w:rsidRDefault="007568B1" w:rsidP="007568B1">
      <w:pPr>
        <w:spacing w:before="120"/>
        <w:rPr>
          <w:rFonts w:cs="Arial"/>
        </w:rPr>
      </w:pPr>
      <w:bookmarkStart w:id="71" w:name="_Ref468355804"/>
      <w:r w:rsidRPr="00FE1F2D">
        <w:rPr>
          <w:rFonts w:cs="Arial"/>
        </w:rPr>
        <w:t xml:space="preserve">You cannot use the </w:t>
      </w:r>
      <w:r>
        <w:rPr>
          <w:rFonts w:cs="Arial"/>
        </w:rPr>
        <w:t>grant</w:t>
      </w:r>
      <w:r w:rsidRPr="00FE1F2D">
        <w:rPr>
          <w:rFonts w:cs="Arial"/>
        </w:rPr>
        <w:t xml:space="preserve"> for the following activities: </w:t>
      </w:r>
    </w:p>
    <w:p w14:paraId="4E99708C" w14:textId="72F5EB9F" w:rsidR="007568B1" w:rsidRPr="00FE1F2D" w:rsidRDefault="007877B3" w:rsidP="0087683E">
      <w:pPr>
        <w:pStyle w:val="ListBullet"/>
      </w:pPr>
      <w:r>
        <w:t>p</w:t>
      </w:r>
      <w:r w:rsidR="007568B1" w:rsidRPr="00FE1F2D">
        <w:t xml:space="preserve">urchase of land </w:t>
      </w:r>
    </w:p>
    <w:p w14:paraId="6F7F782F" w14:textId="388C7DA2" w:rsidR="007568B1" w:rsidRPr="00FE1F2D" w:rsidRDefault="007877B3" w:rsidP="0087683E">
      <w:pPr>
        <w:pStyle w:val="ListBullet"/>
      </w:pPr>
      <w:r>
        <w:t>m</w:t>
      </w:r>
      <w:r w:rsidR="007568B1" w:rsidRPr="00FE1F2D">
        <w:t xml:space="preserve">ajor capital expenditure </w:t>
      </w:r>
    </w:p>
    <w:p w14:paraId="08328E4D" w14:textId="3D47BCFD" w:rsidR="007568B1" w:rsidRPr="00FE1F2D" w:rsidRDefault="007877B3" w:rsidP="0087683E">
      <w:pPr>
        <w:pStyle w:val="ListBullet"/>
      </w:pPr>
      <w:r>
        <w:t>c</w:t>
      </w:r>
      <w:r w:rsidR="007568B1" w:rsidRPr="00FE1F2D">
        <w:t xml:space="preserve">overing of retrospective costs </w:t>
      </w:r>
    </w:p>
    <w:p w14:paraId="1689D0C1" w14:textId="17580830" w:rsidR="007568B1" w:rsidRPr="00FE1F2D" w:rsidRDefault="007877B3" w:rsidP="0087683E">
      <w:pPr>
        <w:pStyle w:val="ListBullet"/>
      </w:pPr>
      <w:r>
        <w:t>c</w:t>
      </w:r>
      <w:r w:rsidR="007568B1" w:rsidRPr="00FE1F2D">
        <w:t xml:space="preserve">osts incurred in the preparation of a </w:t>
      </w:r>
      <w:r w:rsidR="007568B1">
        <w:t>grant</w:t>
      </w:r>
      <w:r w:rsidR="007568B1" w:rsidRPr="00FE1F2D">
        <w:t xml:space="preserve"> application or related documentation </w:t>
      </w:r>
    </w:p>
    <w:p w14:paraId="401A391B" w14:textId="3CB765D3" w:rsidR="007568B1" w:rsidRPr="00FE1F2D" w:rsidRDefault="007877B3" w:rsidP="0087683E">
      <w:pPr>
        <w:pStyle w:val="ListBullet"/>
      </w:pPr>
      <w:r>
        <w:t>m</w:t>
      </w:r>
      <w:r w:rsidR="007568B1" w:rsidRPr="00FE1F2D">
        <w:t xml:space="preserve">ajor construction/capital works </w:t>
      </w:r>
    </w:p>
    <w:p w14:paraId="490D951A" w14:textId="64C3DA7C" w:rsidR="007568B1" w:rsidRPr="00FE1F2D" w:rsidRDefault="007877B3" w:rsidP="0087683E">
      <w:pPr>
        <w:pStyle w:val="ListBullet"/>
      </w:pPr>
      <w:r>
        <w:t>o</w:t>
      </w:r>
      <w:r w:rsidR="007568B1" w:rsidRPr="00FE1F2D">
        <w:t xml:space="preserve">verseas travel </w:t>
      </w:r>
    </w:p>
    <w:p w14:paraId="291DED8C" w14:textId="0A1BBC88" w:rsidR="007568B1" w:rsidRPr="00FE1F2D" w:rsidRDefault="007877B3" w:rsidP="0087683E">
      <w:pPr>
        <w:pStyle w:val="ListBullet"/>
      </w:pPr>
      <w:r>
        <w:t>a</w:t>
      </w:r>
      <w:r w:rsidR="007568B1" w:rsidRPr="00FE1F2D">
        <w:t xml:space="preserve">ctivities for which other Commonwealth, State, Territory or Local </w:t>
      </w:r>
      <w:r w:rsidR="007568B1">
        <w:t>Government</w:t>
      </w:r>
      <w:r w:rsidR="007568B1" w:rsidRPr="00FE1F2D">
        <w:t xml:space="preserve"> bodies have primary responsibility</w:t>
      </w:r>
    </w:p>
    <w:p w14:paraId="7C2EEB4C" w14:textId="10A0B260" w:rsidR="007568B1" w:rsidRPr="00FE1F2D" w:rsidRDefault="007877B3" w:rsidP="0087683E">
      <w:pPr>
        <w:pStyle w:val="ListBullet"/>
      </w:pPr>
      <w:r>
        <w:t>s</w:t>
      </w:r>
      <w:r w:rsidR="007568B1" w:rsidRPr="00FE1F2D">
        <w:t>pecialist counselling services e.g. torture and trauma counselling</w:t>
      </w:r>
    </w:p>
    <w:p w14:paraId="2F05C1D7" w14:textId="465A727E" w:rsidR="007568B1" w:rsidRPr="00FE1F2D" w:rsidRDefault="007877B3" w:rsidP="0087683E">
      <w:pPr>
        <w:pStyle w:val="ListBullet"/>
      </w:pPr>
      <w:r>
        <w:t>m</w:t>
      </w:r>
      <w:r w:rsidR="007568B1" w:rsidRPr="00FE1F2D">
        <w:t xml:space="preserve">ulti-cultural events and festivals (refer to the </w:t>
      </w:r>
      <w:r w:rsidR="0087683E">
        <w:t>d</w:t>
      </w:r>
      <w:r w:rsidR="007568B1" w:rsidRPr="00FE1F2D">
        <w:t xml:space="preserve">epartment’s </w:t>
      </w:r>
      <w:hyperlink r:id="rId32" w:history="1">
        <w:r w:rsidR="007568B1" w:rsidRPr="00FE1F2D">
          <w:rPr>
            <w:rStyle w:val="Hyperlink"/>
            <w:rFonts w:cs="Arial"/>
          </w:rPr>
          <w:t>Strong and Resilient Communities (SARC)</w:t>
        </w:r>
      </w:hyperlink>
      <w:r w:rsidR="007568B1" w:rsidRPr="00FE1F2D">
        <w:t xml:space="preserve"> activity)</w:t>
      </w:r>
    </w:p>
    <w:p w14:paraId="0AEA1912" w14:textId="3166CAF8" w:rsidR="007568B1" w:rsidRPr="00FE1F2D" w:rsidRDefault="007877B3" w:rsidP="0087683E">
      <w:pPr>
        <w:pStyle w:val="ListBullet"/>
      </w:pPr>
      <w:r>
        <w:t>s</w:t>
      </w:r>
      <w:r w:rsidR="007568B1" w:rsidRPr="00FE1F2D">
        <w:t>ervices that duplicate those delivered by Humanitarian Settlement Program (HSP), other settlement or mainstream services</w:t>
      </w:r>
      <w:r w:rsidR="007568B1">
        <w:t>.</w:t>
      </w:r>
    </w:p>
    <w:p w14:paraId="51D07159" w14:textId="77777777" w:rsidR="007568B1" w:rsidRPr="00994007" w:rsidRDefault="007568B1" w:rsidP="007568B1">
      <w:pPr>
        <w:pStyle w:val="ListBullet"/>
        <w:numPr>
          <w:ilvl w:val="0"/>
          <w:numId w:val="0"/>
        </w:numPr>
        <w:spacing w:before="120" w:after="120"/>
        <w:rPr>
          <w:rFonts w:cs="Arial"/>
        </w:rPr>
      </w:pPr>
      <w:r w:rsidRPr="00994007">
        <w:rPr>
          <w:rFonts w:cs="Arial"/>
        </w:rPr>
        <w:t xml:space="preserve">We cannot provide a </w:t>
      </w:r>
      <w:r>
        <w:rPr>
          <w:rFonts w:cs="Arial"/>
        </w:rPr>
        <w:t>grant</w:t>
      </w:r>
      <w:r w:rsidRPr="00994007">
        <w:rPr>
          <w:rFonts w:cs="Arial"/>
        </w:rPr>
        <w:t xml:space="preserve"> if you receive funding from another </w:t>
      </w:r>
      <w:r>
        <w:rPr>
          <w:rFonts w:cs="Arial"/>
        </w:rPr>
        <w:t>Government</w:t>
      </w:r>
      <w:r w:rsidRPr="00994007">
        <w:rPr>
          <w:rFonts w:cs="Arial"/>
        </w:rPr>
        <w:t xml:space="preserve"> source for the same purpose.</w:t>
      </w:r>
    </w:p>
    <w:p w14:paraId="44994ACF" w14:textId="77777777" w:rsidR="007568B1" w:rsidRPr="007F415D" w:rsidRDefault="007568B1" w:rsidP="007568B1">
      <w:pPr>
        <w:pStyle w:val="Heading2"/>
      </w:pPr>
      <w:bookmarkStart w:id="72" w:name="_Toc494290504"/>
      <w:bookmarkStart w:id="73" w:name="_Toc494290505"/>
      <w:bookmarkStart w:id="74" w:name="_Toc494290506"/>
      <w:bookmarkStart w:id="75" w:name="_Toc494290507"/>
      <w:bookmarkStart w:id="76" w:name="_Toc494290508"/>
      <w:bookmarkStart w:id="77" w:name="_Toc494290509"/>
      <w:bookmarkStart w:id="78" w:name="_Toc494290510"/>
      <w:bookmarkStart w:id="79" w:name="_Toc494290511"/>
      <w:bookmarkStart w:id="80" w:name="_Ref485221187"/>
      <w:bookmarkStart w:id="81" w:name="_Toc3559234"/>
      <w:bookmarkEnd w:id="71"/>
      <w:bookmarkEnd w:id="72"/>
      <w:bookmarkEnd w:id="73"/>
      <w:bookmarkEnd w:id="74"/>
      <w:bookmarkEnd w:id="75"/>
      <w:bookmarkEnd w:id="76"/>
      <w:bookmarkEnd w:id="77"/>
      <w:bookmarkEnd w:id="78"/>
      <w:bookmarkEnd w:id="79"/>
      <w:r w:rsidRPr="007F415D">
        <w:t>The assessment criteria</w:t>
      </w:r>
      <w:bookmarkEnd w:id="80"/>
      <w:bookmarkEnd w:id="81"/>
    </w:p>
    <w:p w14:paraId="47D7BB1E" w14:textId="77777777" w:rsidR="007568B1" w:rsidRPr="00FE1F2D" w:rsidRDefault="007568B1" w:rsidP="007568B1">
      <w:pPr>
        <w:spacing w:before="120"/>
        <w:rPr>
          <w:rFonts w:cs="Arial"/>
        </w:rPr>
      </w:pPr>
      <w:bookmarkStart w:id="82" w:name="_Toc164844283"/>
      <w:bookmarkStart w:id="83" w:name="_Toc383003272"/>
      <w:bookmarkEnd w:id="55"/>
      <w:bookmarkEnd w:id="56"/>
      <w:r w:rsidRPr="00FE1F2D">
        <w:rPr>
          <w:rFonts w:cs="Arial"/>
        </w:rPr>
        <w:t>You must address all the following assessment criteria in your Service Delivery Plan Application Form. We will assess your application based on equal weighting given to each criterion listed below.</w:t>
      </w:r>
    </w:p>
    <w:p w14:paraId="3A325886" w14:textId="77777777" w:rsidR="007568B1" w:rsidRPr="00F61DFE" w:rsidRDefault="007568B1" w:rsidP="007568B1">
      <w:pPr>
        <w:spacing w:before="120"/>
        <w:rPr>
          <w:lang w:val="en-GB"/>
        </w:rPr>
      </w:pPr>
      <w:r>
        <w:rPr>
          <w:b/>
          <w:lang w:val="en-GB"/>
        </w:rPr>
        <w:t>Criterion 1</w:t>
      </w:r>
      <w:r w:rsidRPr="00F61DFE">
        <w:rPr>
          <w:lang w:val="en-GB"/>
        </w:rPr>
        <w:br/>
      </w:r>
      <w:r w:rsidRPr="00F61DFE">
        <w:rPr>
          <w:b/>
          <w:lang w:val="en-GB"/>
        </w:rPr>
        <w:t>Describe your organisation’s project and how there is a need for the project in the target community.</w:t>
      </w:r>
    </w:p>
    <w:p w14:paraId="387AD25D" w14:textId="77777777" w:rsidR="007568B1" w:rsidRPr="00F61DFE" w:rsidRDefault="007568B1" w:rsidP="007568B1">
      <w:pPr>
        <w:spacing w:before="120"/>
        <w:rPr>
          <w:lang w:val="en-GB"/>
        </w:rPr>
      </w:pPr>
      <w:r w:rsidRPr="00F61DFE">
        <w:rPr>
          <w:lang w:val="en-GB"/>
        </w:rPr>
        <w:t>When addressing the criterion strong applicants will:</w:t>
      </w:r>
    </w:p>
    <w:p w14:paraId="5AE510C7" w14:textId="77777777" w:rsidR="007568B1" w:rsidRPr="00F61DFE" w:rsidRDefault="007568B1" w:rsidP="0087683E">
      <w:pPr>
        <w:pStyle w:val="ListBullet"/>
        <w:rPr>
          <w:lang w:val="en-GB"/>
        </w:rPr>
      </w:pPr>
      <w:r w:rsidRPr="00F61DFE">
        <w:rPr>
          <w:lang w:val="en-GB"/>
        </w:rPr>
        <w:t>Provide a description of the services you will provide, including detail on the projects service d</w:t>
      </w:r>
      <w:r>
        <w:rPr>
          <w:lang w:val="en-GB"/>
        </w:rPr>
        <w:t>elivery plan and its objectives</w:t>
      </w:r>
    </w:p>
    <w:p w14:paraId="20C177B7" w14:textId="77777777" w:rsidR="007568B1" w:rsidRPr="00F0079C" w:rsidRDefault="007568B1" w:rsidP="0087683E">
      <w:pPr>
        <w:pStyle w:val="ListBullet"/>
        <w:rPr>
          <w:lang w:val="en-GB"/>
        </w:rPr>
      </w:pPr>
      <w:r w:rsidRPr="00F61DFE">
        <w:rPr>
          <w:lang w:val="en-GB"/>
        </w:rPr>
        <w:t>Detail the target community</w:t>
      </w:r>
      <w:r>
        <w:rPr>
          <w:lang w:val="en-GB"/>
        </w:rPr>
        <w:t xml:space="preserve"> demographics</w:t>
      </w:r>
      <w:r w:rsidRPr="00F61DFE">
        <w:rPr>
          <w:lang w:val="en-GB"/>
        </w:rPr>
        <w:t>, and demonstrate evidence of the need for the project in the target community and how this will address a known demand.</w:t>
      </w:r>
      <w:r>
        <w:rPr>
          <w:lang w:val="en-GB"/>
        </w:rPr>
        <w:t xml:space="preserve"> </w:t>
      </w:r>
    </w:p>
    <w:p w14:paraId="391A5DA8" w14:textId="77777777" w:rsidR="007568B1" w:rsidRPr="00F61DFE" w:rsidRDefault="007568B1" w:rsidP="007568B1">
      <w:pPr>
        <w:spacing w:before="120"/>
        <w:rPr>
          <w:lang w:val="en-GB"/>
        </w:rPr>
      </w:pPr>
      <w:r w:rsidRPr="00F61DFE">
        <w:rPr>
          <w:b/>
          <w:lang w:val="en-GB"/>
        </w:rPr>
        <w:t>Criterion 2</w:t>
      </w:r>
      <w:r w:rsidRPr="00F61DFE">
        <w:rPr>
          <w:lang w:val="en-GB"/>
        </w:rPr>
        <w:br/>
      </w:r>
      <w:r w:rsidRPr="00F61DFE">
        <w:rPr>
          <w:b/>
          <w:lang w:val="en-GB"/>
        </w:rPr>
        <w:t xml:space="preserve">Explain how the target community will benefit from the project, address the </w:t>
      </w:r>
      <w:r>
        <w:rPr>
          <w:b/>
          <w:lang w:val="en-GB"/>
        </w:rPr>
        <w:t>grant</w:t>
      </w:r>
      <w:r w:rsidRPr="00F61DFE">
        <w:rPr>
          <w:b/>
          <w:lang w:val="en-GB"/>
        </w:rPr>
        <w:t xml:space="preserve"> objectives and incorporate relevant stakeholders in the local community.</w:t>
      </w:r>
    </w:p>
    <w:p w14:paraId="4387B605" w14:textId="77777777" w:rsidR="007568B1" w:rsidRPr="00F61DFE" w:rsidRDefault="007568B1" w:rsidP="007568B1">
      <w:pPr>
        <w:spacing w:before="120"/>
        <w:rPr>
          <w:lang w:val="en-GB"/>
        </w:rPr>
      </w:pPr>
      <w:r w:rsidRPr="00F61DFE">
        <w:rPr>
          <w:lang w:val="en-GB"/>
        </w:rPr>
        <w:t>When addressing the criterion strong applicants will:</w:t>
      </w:r>
    </w:p>
    <w:p w14:paraId="485EBC4D" w14:textId="405C05B4" w:rsidR="007568B1" w:rsidRPr="0087683E" w:rsidRDefault="007568B1" w:rsidP="0087683E">
      <w:pPr>
        <w:pStyle w:val="ListBullet"/>
        <w:rPr>
          <w:lang w:val="en-GB"/>
        </w:rPr>
      </w:pPr>
      <w:r w:rsidRPr="0087683E">
        <w:rPr>
          <w:lang w:val="en-GB"/>
        </w:rPr>
        <w:lastRenderedPageBreak/>
        <w:t>Detail how the target community will benefit from the project, including what the intended settlement outcomes are</w:t>
      </w:r>
      <w:r w:rsidR="007877B3" w:rsidRPr="0087683E">
        <w:rPr>
          <w:lang w:val="en-GB"/>
        </w:rPr>
        <w:t>.</w:t>
      </w:r>
    </w:p>
    <w:p w14:paraId="756AB1AF" w14:textId="7D7F08FA" w:rsidR="007568B1" w:rsidRPr="0087683E" w:rsidRDefault="007568B1" w:rsidP="0087683E">
      <w:pPr>
        <w:pStyle w:val="ListBullet"/>
        <w:rPr>
          <w:lang w:val="en-GB"/>
        </w:rPr>
      </w:pPr>
      <w:r w:rsidRPr="0087683E">
        <w:rPr>
          <w:lang w:val="en-GB"/>
        </w:rPr>
        <w:t>Detail how the project will address the priority focus on pathways to English acquisition, employment and education and training</w:t>
      </w:r>
      <w:r w:rsidR="007877B3" w:rsidRPr="0087683E">
        <w:rPr>
          <w:lang w:val="en-GB"/>
        </w:rPr>
        <w:t>.</w:t>
      </w:r>
    </w:p>
    <w:p w14:paraId="192F6D01" w14:textId="77777777" w:rsidR="007568B1" w:rsidRPr="0087683E" w:rsidRDefault="007568B1" w:rsidP="0087683E">
      <w:pPr>
        <w:pStyle w:val="ListBullet"/>
        <w:rPr>
          <w:lang w:val="en-GB"/>
        </w:rPr>
      </w:pPr>
      <w:r w:rsidRPr="0087683E">
        <w:rPr>
          <w:lang w:val="en-GB"/>
        </w:rPr>
        <w:t xml:space="preserve">Describe how the project will interact with clients and relevant stakeholders, including how this will complement and work with existing services through formal and/or informal partnerships in the local community. </w:t>
      </w:r>
    </w:p>
    <w:p w14:paraId="4B757E87" w14:textId="77777777" w:rsidR="007568B1" w:rsidRPr="00F61DFE" w:rsidRDefault="007568B1" w:rsidP="007568B1">
      <w:pPr>
        <w:spacing w:before="120"/>
        <w:rPr>
          <w:lang w:val="en-GB"/>
        </w:rPr>
      </w:pPr>
      <w:r w:rsidRPr="00F61DFE">
        <w:rPr>
          <w:b/>
          <w:lang w:val="en-GB"/>
        </w:rPr>
        <w:t>Criterion 3</w:t>
      </w:r>
      <w:r w:rsidRPr="00F61DFE">
        <w:rPr>
          <w:lang w:val="en-GB"/>
        </w:rPr>
        <w:br/>
      </w:r>
      <w:r w:rsidRPr="00F61DFE">
        <w:rPr>
          <w:b/>
          <w:lang w:val="en-GB"/>
        </w:rPr>
        <w:t xml:space="preserve">Demonstrate your organisation’s capacity to deliver the </w:t>
      </w:r>
      <w:r>
        <w:rPr>
          <w:b/>
          <w:lang w:val="en-GB"/>
        </w:rPr>
        <w:t>grant</w:t>
      </w:r>
      <w:r w:rsidRPr="00F61DFE">
        <w:rPr>
          <w:b/>
          <w:lang w:val="en-GB"/>
        </w:rPr>
        <w:t xml:space="preserve"> activity to the target group.</w:t>
      </w:r>
    </w:p>
    <w:p w14:paraId="7583DF99" w14:textId="77777777" w:rsidR="007568B1" w:rsidRPr="00F61DFE" w:rsidRDefault="007568B1" w:rsidP="007568B1">
      <w:pPr>
        <w:spacing w:before="120"/>
        <w:rPr>
          <w:lang w:val="en-GB"/>
        </w:rPr>
      </w:pPr>
      <w:r w:rsidRPr="00F61DFE">
        <w:rPr>
          <w:lang w:val="en-GB"/>
        </w:rPr>
        <w:t>When addressing the criterion strong applicants will:</w:t>
      </w:r>
    </w:p>
    <w:p w14:paraId="5F25F9A0" w14:textId="26860FE0" w:rsidR="007568B1" w:rsidRPr="00F61DFE" w:rsidRDefault="007568B1" w:rsidP="0087683E">
      <w:pPr>
        <w:pStyle w:val="ListBullet"/>
        <w:rPr>
          <w:lang w:val="en-GB"/>
        </w:rPr>
      </w:pPr>
      <w:r w:rsidRPr="00F61DFE">
        <w:rPr>
          <w:lang w:val="en-GB"/>
        </w:rPr>
        <w:t xml:space="preserve">Explain how your organisation will use </w:t>
      </w:r>
      <w:r>
        <w:rPr>
          <w:lang w:val="en-GB"/>
        </w:rPr>
        <w:t>grant</w:t>
      </w:r>
      <w:r w:rsidRPr="00F61DFE">
        <w:rPr>
          <w:lang w:val="en-GB"/>
        </w:rPr>
        <w:t xml:space="preserve"> funding to develop and implement the activity and/or experience developing and delivering </w:t>
      </w:r>
      <w:r>
        <w:rPr>
          <w:lang w:val="en-GB"/>
        </w:rPr>
        <w:t>grant activities</w:t>
      </w:r>
      <w:r w:rsidR="007877B3">
        <w:rPr>
          <w:lang w:val="en-GB"/>
        </w:rPr>
        <w:t>.</w:t>
      </w:r>
    </w:p>
    <w:p w14:paraId="4EE65181" w14:textId="5B9B155F" w:rsidR="007568B1" w:rsidRPr="00F61DFE" w:rsidRDefault="007568B1" w:rsidP="0087683E">
      <w:pPr>
        <w:pStyle w:val="ListBullet"/>
        <w:rPr>
          <w:lang w:val="en-GB"/>
        </w:rPr>
      </w:pPr>
      <w:r w:rsidRPr="00F61DFE">
        <w:rPr>
          <w:lang w:val="en-GB"/>
        </w:rPr>
        <w:t>Explain how your organisation will meet reporting and performance requirements and evaluat</w:t>
      </w:r>
      <w:r>
        <w:rPr>
          <w:lang w:val="en-GB"/>
        </w:rPr>
        <w:t>e outcomes for the target group</w:t>
      </w:r>
      <w:r w:rsidR="007877B3">
        <w:rPr>
          <w:lang w:val="en-GB"/>
        </w:rPr>
        <w:t>.</w:t>
      </w:r>
    </w:p>
    <w:p w14:paraId="74D1AEA8" w14:textId="77777777" w:rsidR="007568B1" w:rsidRPr="00F61DFE" w:rsidRDefault="007568B1" w:rsidP="0087683E">
      <w:pPr>
        <w:pStyle w:val="ListBullet"/>
        <w:rPr>
          <w:lang w:val="en-GB"/>
        </w:rPr>
      </w:pPr>
      <w:r w:rsidRPr="00F61DFE">
        <w:rPr>
          <w:lang w:val="en-GB"/>
        </w:rPr>
        <w:t xml:space="preserve">Describe your organisation’s prior experience in delivering similar projects, including any governance arrangements, and/or the key staff who will deliver the project including their experience and qualifications. </w:t>
      </w:r>
    </w:p>
    <w:p w14:paraId="2B265958" w14:textId="77777777" w:rsidR="007568B1" w:rsidRPr="00796798" w:rsidRDefault="007568B1" w:rsidP="007568B1">
      <w:pPr>
        <w:pStyle w:val="ListBullet"/>
        <w:numPr>
          <w:ilvl w:val="0"/>
          <w:numId w:val="0"/>
        </w:numPr>
        <w:spacing w:before="120" w:after="120"/>
        <w:rPr>
          <w:rFonts w:cs="Arial"/>
          <w:iCs w:val="0"/>
          <w:color w:val="0070C0"/>
        </w:rPr>
      </w:pPr>
      <w:r w:rsidRPr="00FE1F2D">
        <w:rPr>
          <w:rFonts w:cs="Arial"/>
        </w:rPr>
        <w:t>The Service Delivery Application Form response has a 900 word limit per criterion</w:t>
      </w:r>
      <w:r>
        <w:rPr>
          <w:rFonts w:cs="Arial"/>
          <w:iCs w:val="0"/>
          <w:color w:val="0070C0"/>
        </w:rPr>
        <w:t>.</w:t>
      </w:r>
    </w:p>
    <w:p w14:paraId="793E579D" w14:textId="77777777" w:rsidR="007568B1" w:rsidRPr="00FD47D5" w:rsidRDefault="007568B1" w:rsidP="007568B1">
      <w:pPr>
        <w:pStyle w:val="Heading2"/>
      </w:pPr>
      <w:bookmarkStart w:id="84" w:name="_Toc3559235"/>
      <w:r w:rsidRPr="00FD47D5">
        <w:t>How to apply</w:t>
      </w:r>
      <w:bookmarkEnd w:id="84"/>
    </w:p>
    <w:p w14:paraId="67B40949" w14:textId="77777777" w:rsidR="007568B1" w:rsidRPr="00FE1F2D" w:rsidRDefault="007568B1" w:rsidP="007568B1">
      <w:pPr>
        <w:keepNext/>
        <w:spacing w:before="120"/>
        <w:rPr>
          <w:rFonts w:cs="Arial"/>
        </w:rPr>
      </w:pPr>
      <w:r w:rsidRPr="00FE1F2D">
        <w:rPr>
          <w:rFonts w:cs="Arial"/>
        </w:rPr>
        <w:t xml:space="preserve">Before applying, you must read and understand these guidelines, the Service Delivery Plan, </w:t>
      </w:r>
      <w:r w:rsidRPr="00FE1F2D">
        <w:rPr>
          <w:rFonts w:eastAsia="Arial" w:cs="Arial"/>
        </w:rPr>
        <w:t>Settlement Information Reports,</w:t>
      </w:r>
      <w:r w:rsidRPr="00FE1F2D">
        <w:rPr>
          <w:rFonts w:cs="Arial"/>
        </w:rPr>
        <w:t xml:space="preserve"> Questions and Answers and the </w:t>
      </w:r>
      <w:r>
        <w:rPr>
          <w:rFonts w:cs="Arial"/>
        </w:rPr>
        <w:t>grant agreement</w:t>
      </w:r>
      <w:r w:rsidRPr="00FE1F2D">
        <w:rPr>
          <w:rFonts w:cs="Arial"/>
        </w:rPr>
        <w:t xml:space="preserve"> </w:t>
      </w:r>
      <w:r>
        <w:rPr>
          <w:rFonts w:cs="Arial"/>
        </w:rPr>
        <w:t>t</w:t>
      </w:r>
      <w:r w:rsidRPr="00FE1F2D">
        <w:rPr>
          <w:rFonts w:cs="Arial"/>
        </w:rPr>
        <w:t xml:space="preserve">erms and </w:t>
      </w:r>
      <w:r>
        <w:rPr>
          <w:rFonts w:cs="Arial"/>
        </w:rPr>
        <w:t>c</w:t>
      </w:r>
      <w:r w:rsidRPr="00FE1F2D">
        <w:rPr>
          <w:rFonts w:cs="Arial"/>
        </w:rPr>
        <w:t>onditions prior to submitting an application.</w:t>
      </w:r>
    </w:p>
    <w:p w14:paraId="00D51B0D" w14:textId="77777777" w:rsidR="007568B1" w:rsidRPr="00FE1F2D" w:rsidRDefault="007568B1" w:rsidP="007568B1">
      <w:pPr>
        <w:spacing w:before="120"/>
        <w:rPr>
          <w:rFonts w:cs="Arial"/>
        </w:rPr>
      </w:pPr>
      <w:r w:rsidRPr="00FE1F2D">
        <w:rPr>
          <w:rFonts w:cs="Arial"/>
        </w:rPr>
        <w:t xml:space="preserve">These documents are found on the </w:t>
      </w:r>
      <w:hyperlink r:id="rId33" w:history="1">
        <w:r>
          <w:rPr>
            <w:rStyle w:val="Hyperlink"/>
            <w:rFonts w:cs="Arial"/>
          </w:rPr>
          <w:t>Grant</w:t>
        </w:r>
        <w:r w:rsidRPr="00FE1F2D">
          <w:rPr>
            <w:rStyle w:val="Hyperlink"/>
            <w:rFonts w:cs="Arial"/>
          </w:rPr>
          <w:t>Connect</w:t>
        </w:r>
      </w:hyperlink>
      <w:r w:rsidRPr="00FE1F2D">
        <w:rPr>
          <w:rFonts w:cs="Arial"/>
        </w:rPr>
        <w:t xml:space="preserve"> website. Any changes to </w:t>
      </w:r>
      <w:r>
        <w:rPr>
          <w:rFonts w:cs="Arial"/>
        </w:rPr>
        <w:t>grant</w:t>
      </w:r>
      <w:r w:rsidRPr="00FE1F2D">
        <w:rPr>
          <w:rFonts w:cs="Arial"/>
        </w:rPr>
        <w:t xml:space="preserve"> documentation are published and addenda</w:t>
      </w:r>
      <w:r w:rsidRPr="00FE1F2D">
        <w:rPr>
          <w:rStyle w:val="FootnoteReference"/>
          <w:rFonts w:cs="Arial"/>
        </w:rPr>
        <w:footnoteReference w:id="5"/>
      </w:r>
      <w:r w:rsidRPr="00FE1F2D">
        <w:rPr>
          <w:rFonts w:cs="Arial"/>
        </w:rPr>
        <w:t xml:space="preserve"> will be published on </w:t>
      </w:r>
      <w:hyperlink r:id="rId34" w:history="1">
        <w:r>
          <w:rPr>
            <w:rStyle w:val="Hyperlink"/>
          </w:rPr>
          <w:t>Grant</w:t>
        </w:r>
        <w:r w:rsidRPr="00452C26">
          <w:rPr>
            <w:rStyle w:val="Hyperlink"/>
          </w:rPr>
          <w:t>Connect</w:t>
        </w:r>
      </w:hyperlink>
      <w:r w:rsidRPr="009E283B">
        <w:t xml:space="preserve"> </w:t>
      </w:r>
      <w:r w:rsidRPr="00FE1F2D">
        <w:rPr>
          <w:rFonts w:cs="Arial"/>
        </w:rPr>
        <w:t xml:space="preserve">and only accessible by invitees. </w:t>
      </w:r>
      <w:hyperlink r:id="rId35" w:history="1">
        <w:r>
          <w:rPr>
            <w:rStyle w:val="Hyperlink"/>
          </w:rPr>
          <w:t>Grant</w:t>
        </w:r>
        <w:r w:rsidRPr="00452C26">
          <w:rPr>
            <w:rStyle w:val="Hyperlink"/>
          </w:rPr>
          <w:t>Connect</w:t>
        </w:r>
      </w:hyperlink>
      <w:r w:rsidRPr="009E283B">
        <w:t xml:space="preserve"> </w:t>
      </w:r>
      <w:r w:rsidRPr="00FE1F2D">
        <w:rPr>
          <w:rFonts w:cs="Arial"/>
        </w:rPr>
        <w:t xml:space="preserve">is the authoritative source for </w:t>
      </w:r>
      <w:r>
        <w:rPr>
          <w:rFonts w:cs="Arial"/>
        </w:rPr>
        <w:t>grant</w:t>
      </w:r>
      <w:r w:rsidRPr="00FE1F2D">
        <w:rPr>
          <w:rFonts w:cs="Arial"/>
        </w:rPr>
        <w:t>s information.</w:t>
      </w:r>
    </w:p>
    <w:p w14:paraId="0A7B79EC" w14:textId="77777777" w:rsidR="007568B1" w:rsidRPr="00FE1F2D" w:rsidRDefault="007568B1" w:rsidP="007568B1">
      <w:pPr>
        <w:spacing w:before="120"/>
        <w:rPr>
          <w:rFonts w:cs="Arial"/>
        </w:rPr>
      </w:pPr>
      <w:r w:rsidRPr="00FE1F2D">
        <w:rPr>
          <w:rFonts w:cs="Arial"/>
        </w:rPr>
        <w:t xml:space="preserve">Only </w:t>
      </w:r>
      <w:r>
        <w:rPr>
          <w:rFonts w:cs="Arial"/>
        </w:rPr>
        <w:t xml:space="preserve">Invitees can </w:t>
      </w:r>
      <w:r w:rsidRPr="00FE1F2D">
        <w:rPr>
          <w:rFonts w:cs="Arial"/>
        </w:rPr>
        <w:t>access these documents and the application form.</w:t>
      </w:r>
    </w:p>
    <w:p w14:paraId="2787CCC3" w14:textId="44ACD808" w:rsidR="007877B3" w:rsidRDefault="007568B1" w:rsidP="007877B3">
      <w:pPr>
        <w:pStyle w:val="ListBullet"/>
        <w:numPr>
          <w:ilvl w:val="0"/>
          <w:numId w:val="0"/>
        </w:numPr>
        <w:spacing w:before="120" w:after="120"/>
        <w:rPr>
          <w:rFonts w:cs="Arial"/>
        </w:rPr>
      </w:pPr>
      <w:r w:rsidRPr="00FE1F2D">
        <w:rPr>
          <w:rFonts w:cs="Arial"/>
        </w:rPr>
        <w:t xml:space="preserve">To apply you must complete </w:t>
      </w:r>
      <w:r>
        <w:rPr>
          <w:rFonts w:cs="Arial"/>
        </w:rPr>
        <w:t xml:space="preserve">the </w:t>
      </w:r>
      <w:r w:rsidRPr="00FE1F2D">
        <w:rPr>
          <w:rFonts w:cs="Arial"/>
        </w:rPr>
        <w:t>Ser</w:t>
      </w:r>
      <w:r>
        <w:rPr>
          <w:rFonts w:cs="Arial"/>
        </w:rPr>
        <w:t xml:space="preserve">vice Delivery Application Form available </w:t>
      </w:r>
      <w:r w:rsidRPr="00FE1F2D">
        <w:rPr>
          <w:rFonts w:cs="Arial"/>
        </w:rPr>
        <w:t xml:space="preserve">on </w:t>
      </w:r>
      <w:hyperlink r:id="rId36" w:history="1">
        <w:r>
          <w:rPr>
            <w:rStyle w:val="Hyperlink"/>
            <w:rFonts w:cs="Arial"/>
          </w:rPr>
          <w:t>Grant</w:t>
        </w:r>
        <w:r w:rsidRPr="00FE1F2D">
          <w:rPr>
            <w:rStyle w:val="Hyperlink"/>
            <w:rFonts w:cs="Arial"/>
          </w:rPr>
          <w:t>Connect</w:t>
        </w:r>
      </w:hyperlink>
      <w:r w:rsidR="007877B3">
        <w:rPr>
          <w:rFonts w:cs="Arial"/>
        </w:rPr>
        <w:t xml:space="preserve"> and:</w:t>
      </w:r>
    </w:p>
    <w:p w14:paraId="49AB5388" w14:textId="74BD919B" w:rsidR="007568B1" w:rsidRPr="00FE1F2D" w:rsidRDefault="007568B1" w:rsidP="007877B3">
      <w:pPr>
        <w:pStyle w:val="ListBullet"/>
      </w:pPr>
      <w:r w:rsidRPr="00FE1F2D">
        <w:t>provide all the information requested</w:t>
      </w:r>
    </w:p>
    <w:p w14:paraId="4CB0567B" w14:textId="77777777" w:rsidR="007568B1" w:rsidRPr="00FE1F2D" w:rsidRDefault="007568B1" w:rsidP="007568B1">
      <w:pPr>
        <w:pStyle w:val="ListBullet"/>
        <w:spacing w:before="120" w:after="120"/>
        <w:rPr>
          <w:rFonts w:cs="Arial"/>
        </w:rPr>
      </w:pPr>
      <w:r w:rsidRPr="00FE1F2D">
        <w:rPr>
          <w:rFonts w:cs="Arial"/>
        </w:rPr>
        <w:t>address all eligibility criteria and assessment criteria</w:t>
      </w:r>
    </w:p>
    <w:p w14:paraId="23F290DD" w14:textId="77777777" w:rsidR="007568B1" w:rsidRPr="00FE1F2D" w:rsidRDefault="007568B1" w:rsidP="007568B1">
      <w:pPr>
        <w:pStyle w:val="ListBullet"/>
        <w:spacing w:before="120" w:after="120"/>
        <w:rPr>
          <w:rFonts w:cs="Arial"/>
          <w:color w:val="0070C0"/>
        </w:rPr>
      </w:pPr>
      <w:r w:rsidRPr="00FE1F2D">
        <w:rPr>
          <w:rFonts w:cs="Arial"/>
        </w:rPr>
        <w:t xml:space="preserve">include all necessary attachments </w:t>
      </w:r>
    </w:p>
    <w:p w14:paraId="2BAC4282" w14:textId="77777777" w:rsidR="007568B1" w:rsidRPr="002C4DC5" w:rsidRDefault="007568B1" w:rsidP="007568B1">
      <w:pPr>
        <w:pStyle w:val="ListBullet"/>
        <w:spacing w:before="120" w:after="120"/>
        <w:rPr>
          <w:rFonts w:cs="Arial"/>
        </w:rPr>
      </w:pPr>
      <w:r>
        <w:rPr>
          <w:rFonts w:cs="Arial"/>
        </w:rPr>
        <w:t>submit your application</w:t>
      </w:r>
      <w:r w:rsidRPr="00FE1F2D">
        <w:rPr>
          <w:rFonts w:cs="Arial"/>
        </w:rPr>
        <w:t xml:space="preserve"> to </w:t>
      </w:r>
      <w:hyperlink r:id="rId37" w:history="1">
        <w:r w:rsidRPr="004475DB">
          <w:rPr>
            <w:rStyle w:val="Hyperlink"/>
          </w:rPr>
          <w:t>support@communitygrants.gov.au</w:t>
        </w:r>
      </w:hyperlink>
      <w:r>
        <w:t xml:space="preserve"> </w:t>
      </w:r>
      <w:r w:rsidRPr="00F50963">
        <w:rPr>
          <w:rFonts w:cs="Arial"/>
        </w:rPr>
        <w:t>by 11.00</w:t>
      </w:r>
      <w:r>
        <w:rPr>
          <w:rFonts w:cs="Arial"/>
        </w:rPr>
        <w:t>pm AES</w:t>
      </w:r>
      <w:r w:rsidRPr="00F50963">
        <w:rPr>
          <w:rFonts w:cs="Arial"/>
        </w:rPr>
        <w:t xml:space="preserve">T on </w:t>
      </w:r>
      <w:r>
        <w:rPr>
          <w:rFonts w:cs="Arial"/>
        </w:rPr>
        <w:br/>
      </w:r>
      <w:r w:rsidRPr="002C4DC5">
        <w:rPr>
          <w:rFonts w:cs="Arial"/>
        </w:rPr>
        <w:t>18 April 2019.</w:t>
      </w:r>
    </w:p>
    <w:p w14:paraId="0A802F00" w14:textId="77777777" w:rsidR="007568B1" w:rsidRPr="00FE1F2D" w:rsidRDefault="007568B1" w:rsidP="007568B1">
      <w:pPr>
        <w:pStyle w:val="ListBullet"/>
        <w:numPr>
          <w:ilvl w:val="0"/>
          <w:numId w:val="0"/>
        </w:numPr>
        <w:spacing w:before="120" w:after="120"/>
        <w:rPr>
          <w:rFonts w:cs="Arial"/>
        </w:rPr>
      </w:pPr>
      <w:r w:rsidRPr="00FE1F2D">
        <w:rPr>
          <w:rFonts w:cs="Arial"/>
        </w:rPr>
        <w:t xml:space="preserve">We will not provide application forms or accept applications for this </w:t>
      </w:r>
      <w:r>
        <w:rPr>
          <w:rFonts w:cs="Arial"/>
        </w:rPr>
        <w:t>grant</w:t>
      </w:r>
      <w:r w:rsidRPr="00FE1F2D">
        <w:rPr>
          <w:rFonts w:cs="Arial"/>
        </w:rPr>
        <w:t xml:space="preserve"> opportunity by fax or mail.</w:t>
      </w:r>
    </w:p>
    <w:p w14:paraId="7297C832" w14:textId="77777777" w:rsidR="007568B1" w:rsidRPr="00FE1F2D" w:rsidRDefault="007568B1" w:rsidP="007568B1">
      <w:pPr>
        <w:spacing w:before="120"/>
        <w:rPr>
          <w:rFonts w:cs="Arial"/>
        </w:rPr>
      </w:pPr>
      <w:r w:rsidRPr="00FE1F2D">
        <w:rPr>
          <w:rFonts w:cs="Arial"/>
        </w:rPr>
        <w:t>The application form includes help information. You are responsible for making sure your application is complete and accurate. Giving false or misleading information is a serious offence under the</w:t>
      </w:r>
      <w:r w:rsidRPr="00FE1F2D">
        <w:rPr>
          <w:rStyle w:val="Hyperlink"/>
          <w:rFonts w:cs="Arial"/>
          <w:i/>
        </w:rPr>
        <w:t xml:space="preserve"> </w:t>
      </w:r>
      <w:hyperlink r:id="rId38" w:history="1">
        <w:r w:rsidRPr="00FE1F2D">
          <w:rPr>
            <w:rStyle w:val="Hyperlink"/>
            <w:rFonts w:cs="Arial"/>
            <w:i/>
          </w:rPr>
          <w:t>Criminal Code 1995</w:t>
        </w:r>
      </w:hyperlink>
      <w:r w:rsidRPr="00FE1F2D">
        <w:rPr>
          <w:rFonts w:cs="Arial"/>
        </w:rPr>
        <w:t xml:space="preserve"> and we will investigate any false or misleading information and may exclude your application from further consideration.</w:t>
      </w:r>
    </w:p>
    <w:p w14:paraId="43E82505" w14:textId="77777777" w:rsidR="007568B1" w:rsidRPr="00FE1F2D" w:rsidRDefault="007568B1" w:rsidP="007568B1">
      <w:pPr>
        <w:spacing w:before="120"/>
        <w:rPr>
          <w:rFonts w:cs="Arial"/>
        </w:rPr>
      </w:pPr>
      <w:r w:rsidRPr="00FE1F2D">
        <w:rPr>
          <w:rFonts w:cs="Arial"/>
        </w:rPr>
        <w:t xml:space="preserve">If you need more help about the application process, submitting an application, have any technical difficulties or find an error in your application after submission, but before the closing date and time, </w:t>
      </w:r>
      <w:r w:rsidRPr="00FE1F2D">
        <w:rPr>
          <w:rFonts w:cs="Arial"/>
        </w:rPr>
        <w:lastRenderedPageBreak/>
        <w:t xml:space="preserve">you should contact the Community </w:t>
      </w:r>
      <w:r>
        <w:rPr>
          <w:rFonts w:cs="Arial"/>
        </w:rPr>
        <w:t>Grant</w:t>
      </w:r>
      <w:r w:rsidRPr="00FE1F2D">
        <w:rPr>
          <w:rFonts w:cs="Arial"/>
        </w:rPr>
        <w:t xml:space="preserve">s Hub immediately on 1800 020 283 or email </w:t>
      </w:r>
      <w:hyperlink r:id="rId39" w:history="1">
        <w:r w:rsidRPr="00F575CA">
          <w:rPr>
            <w:rStyle w:val="Hyperlink"/>
            <w:rFonts w:cs="Arial"/>
          </w:rPr>
          <w:t>support@community</w:t>
        </w:r>
        <w:r>
          <w:rPr>
            <w:rStyle w:val="Hyperlink"/>
            <w:rFonts w:cs="Arial"/>
          </w:rPr>
          <w:t>grant</w:t>
        </w:r>
        <w:r w:rsidRPr="00F575CA">
          <w:rPr>
            <w:rStyle w:val="Hyperlink"/>
            <w:rFonts w:cs="Arial"/>
          </w:rPr>
          <w:t>s.gov.au</w:t>
        </w:r>
      </w:hyperlink>
      <w:r w:rsidRPr="00FE1F2D">
        <w:rPr>
          <w:rFonts w:cs="Arial"/>
        </w:rPr>
        <w:t xml:space="preserve">. The Community </w:t>
      </w:r>
      <w:r>
        <w:rPr>
          <w:rFonts w:cs="Arial"/>
        </w:rPr>
        <w:t>Grant</w:t>
      </w:r>
      <w:r w:rsidRPr="00FE1F2D">
        <w:rPr>
          <w:rFonts w:cs="Arial"/>
        </w:rPr>
        <w:t>s Hub do not have to accept any additional information, or requests from you to correct your application after the closing time.</w:t>
      </w:r>
    </w:p>
    <w:p w14:paraId="3BE0F839" w14:textId="77777777" w:rsidR="007568B1" w:rsidRPr="00FE1F2D" w:rsidRDefault="007568B1" w:rsidP="007568B1">
      <w:pPr>
        <w:spacing w:before="120"/>
        <w:rPr>
          <w:rFonts w:cs="Arial"/>
        </w:rPr>
      </w:pPr>
      <w:r w:rsidRPr="00FE1F2D">
        <w:rPr>
          <w:rFonts w:cs="Arial"/>
        </w:rPr>
        <w:t xml:space="preserve">You cannot change your application after the closing date and time. </w:t>
      </w:r>
    </w:p>
    <w:p w14:paraId="409F8084" w14:textId="77777777" w:rsidR="007568B1" w:rsidRPr="00FE1F2D" w:rsidRDefault="007568B1" w:rsidP="007568B1">
      <w:pPr>
        <w:spacing w:before="120"/>
        <w:rPr>
          <w:rFonts w:cs="Arial"/>
        </w:rPr>
      </w:pPr>
      <w:r w:rsidRPr="00FE1F2D">
        <w:rPr>
          <w:rFonts w:cs="Arial"/>
        </w:rPr>
        <w:t xml:space="preserve">If we find an error or something missing, we may ask you for clarification or additional information. This will not change your application. However, we can refuse to accept any additional information from you that would change your application after the closing time. </w:t>
      </w:r>
    </w:p>
    <w:p w14:paraId="421231AD" w14:textId="77777777" w:rsidR="007568B1" w:rsidRPr="00FE1F2D" w:rsidRDefault="007568B1" w:rsidP="007568B1">
      <w:pPr>
        <w:spacing w:before="120"/>
        <w:rPr>
          <w:rFonts w:cs="Arial"/>
        </w:rPr>
      </w:pPr>
      <w:r w:rsidRPr="00FE1F2D">
        <w:rPr>
          <w:rFonts w:cs="Arial"/>
        </w:rPr>
        <w:t xml:space="preserve">You should keep a copy of your application and any supporting documents submitted. </w:t>
      </w:r>
    </w:p>
    <w:p w14:paraId="4F089F00" w14:textId="77777777" w:rsidR="007568B1" w:rsidRPr="00FE1F2D" w:rsidRDefault="007568B1" w:rsidP="007568B1">
      <w:pPr>
        <w:spacing w:before="120"/>
        <w:rPr>
          <w:rFonts w:cs="Arial"/>
        </w:rPr>
      </w:pPr>
      <w:r w:rsidRPr="00FE1F2D">
        <w:rPr>
          <w:rFonts w:cs="Arial"/>
        </w:rPr>
        <w:t>You will receive an automated notification acknowledging the receipt of your application.</w:t>
      </w:r>
    </w:p>
    <w:p w14:paraId="18C8A515" w14:textId="77777777" w:rsidR="007568B1" w:rsidRPr="00FE1F2D" w:rsidRDefault="007568B1" w:rsidP="007568B1">
      <w:pPr>
        <w:pStyle w:val="Heading3"/>
        <w:spacing w:before="120"/>
        <w:rPr>
          <w:sz w:val="20"/>
          <w:szCs w:val="20"/>
        </w:rPr>
      </w:pPr>
      <w:bookmarkStart w:id="85" w:name="_Toc525295534"/>
      <w:bookmarkStart w:id="86" w:name="_Toc525552132"/>
      <w:bookmarkStart w:id="87" w:name="_Toc525722832"/>
      <w:bookmarkStart w:id="88" w:name="_Toc3559236"/>
      <w:bookmarkEnd w:id="85"/>
      <w:bookmarkEnd w:id="86"/>
      <w:bookmarkEnd w:id="87"/>
      <w:r w:rsidRPr="00FE1F2D">
        <w:rPr>
          <w:sz w:val="20"/>
          <w:szCs w:val="20"/>
        </w:rPr>
        <w:t>Attachments to the application</w:t>
      </w:r>
      <w:bookmarkEnd w:id="88"/>
    </w:p>
    <w:p w14:paraId="6471E78D" w14:textId="77777777" w:rsidR="007568B1" w:rsidRPr="00FE1F2D" w:rsidRDefault="007568B1" w:rsidP="007568B1">
      <w:pPr>
        <w:spacing w:before="120"/>
        <w:rPr>
          <w:rFonts w:cs="Arial"/>
        </w:rPr>
      </w:pPr>
      <w:r w:rsidRPr="00FE1F2D">
        <w:rPr>
          <w:rFonts w:cs="Arial"/>
        </w:rPr>
        <w:t xml:space="preserve">All of the following document/s must be attached to your application for it to be considered compliant and for it to proceed to assessment. Templates are provided for your use with the </w:t>
      </w:r>
      <w:r>
        <w:rPr>
          <w:rFonts w:cs="Arial"/>
        </w:rPr>
        <w:t>grant</w:t>
      </w:r>
      <w:r w:rsidRPr="00FE1F2D">
        <w:rPr>
          <w:rFonts w:cs="Arial"/>
        </w:rPr>
        <w:t xml:space="preserve"> opp</w:t>
      </w:r>
      <w:r>
        <w:rPr>
          <w:rFonts w:cs="Arial"/>
        </w:rPr>
        <w:t>ortunity documents as specified.</w:t>
      </w:r>
    </w:p>
    <w:p w14:paraId="00CCECA9" w14:textId="77777777" w:rsidR="007568B1" w:rsidRPr="003B4694" w:rsidRDefault="007568B1" w:rsidP="007568B1">
      <w:pPr>
        <w:suppressAutoHyphens/>
        <w:spacing w:before="120"/>
        <w:rPr>
          <w:rFonts w:cs="Arial"/>
        </w:rPr>
      </w:pPr>
      <w:r w:rsidRPr="003B4694">
        <w:rPr>
          <w:rFonts w:cs="Arial"/>
        </w:rPr>
        <w:t xml:space="preserve">A budget </w:t>
      </w:r>
      <w:r w:rsidRPr="003B4694">
        <w:rPr>
          <w:rFonts w:cs="Arial"/>
          <w:b/>
        </w:rPr>
        <w:t>must be attached to your application, and should</w:t>
      </w:r>
      <w:r w:rsidRPr="003B4694">
        <w:rPr>
          <w:rFonts w:cs="Arial"/>
        </w:rPr>
        <w:t xml:space="preserve"> include (per financial year and rounded to the nearest dollar):</w:t>
      </w:r>
    </w:p>
    <w:p w14:paraId="509FBA1A" w14:textId="77777777" w:rsidR="007568B1" w:rsidRPr="0087683E" w:rsidRDefault="007568B1" w:rsidP="0087683E">
      <w:pPr>
        <w:pStyle w:val="ListBullet"/>
        <w:rPr>
          <w:lang w:val="en-GB"/>
        </w:rPr>
      </w:pPr>
      <w:r w:rsidRPr="0087683E">
        <w:rPr>
          <w:lang w:val="en-GB"/>
        </w:rPr>
        <w:t>line items relating to staff salaries and on-costs for the grant activity</w:t>
      </w:r>
    </w:p>
    <w:p w14:paraId="1AB365D2" w14:textId="77777777" w:rsidR="007568B1" w:rsidRPr="0087683E" w:rsidRDefault="007568B1" w:rsidP="0087683E">
      <w:pPr>
        <w:pStyle w:val="ListBullet"/>
        <w:rPr>
          <w:lang w:val="en-GB"/>
        </w:rPr>
      </w:pPr>
      <w:r w:rsidRPr="0087683E">
        <w:rPr>
          <w:lang w:val="en-GB"/>
        </w:rPr>
        <w:t>line items relating to operational and administration expenses</w:t>
      </w:r>
    </w:p>
    <w:p w14:paraId="6F55D738" w14:textId="77777777" w:rsidR="007568B1" w:rsidRPr="0087683E" w:rsidRDefault="007568B1" w:rsidP="0087683E">
      <w:pPr>
        <w:pStyle w:val="ListBullet"/>
        <w:rPr>
          <w:lang w:val="en-GB"/>
        </w:rPr>
      </w:pPr>
      <w:r w:rsidRPr="0087683E">
        <w:rPr>
          <w:lang w:val="en-GB"/>
        </w:rPr>
        <w:t>line items relating to other expenses related to the grant activity</w:t>
      </w:r>
    </w:p>
    <w:p w14:paraId="4B2E6672" w14:textId="77777777" w:rsidR="007568B1" w:rsidRPr="0087683E" w:rsidRDefault="007568B1" w:rsidP="0087683E">
      <w:pPr>
        <w:pStyle w:val="ListBullet"/>
        <w:rPr>
          <w:lang w:val="en-GB"/>
        </w:rPr>
      </w:pPr>
      <w:r w:rsidRPr="0087683E">
        <w:rPr>
          <w:lang w:val="en-GB"/>
        </w:rPr>
        <w:t>sub-totals for these three categories of expenses</w:t>
      </w:r>
    </w:p>
    <w:p w14:paraId="4E1CFADB" w14:textId="77777777" w:rsidR="007568B1" w:rsidRPr="0087683E" w:rsidRDefault="007568B1" w:rsidP="0087683E">
      <w:pPr>
        <w:pStyle w:val="ListBullet"/>
        <w:rPr>
          <w:lang w:val="en-GB"/>
        </w:rPr>
      </w:pPr>
      <w:r w:rsidRPr="0087683E">
        <w:rPr>
          <w:lang w:val="en-GB"/>
        </w:rPr>
        <w:t>a total amount for all expenses, as listed in Section 2 above.</w:t>
      </w:r>
    </w:p>
    <w:p w14:paraId="01422569" w14:textId="54916483" w:rsidR="007568B1" w:rsidRPr="00F87F43" w:rsidRDefault="007568B1" w:rsidP="0087683E">
      <w:pPr>
        <w:spacing w:before="120"/>
        <w:rPr>
          <w:rFonts w:cs="Arial"/>
        </w:rPr>
      </w:pPr>
      <w:r w:rsidRPr="003B4694">
        <w:rPr>
          <w:rFonts w:cs="Arial"/>
          <w:b/>
        </w:rPr>
        <w:t>Please note:</w:t>
      </w:r>
      <w:r w:rsidRPr="003B4694">
        <w:rPr>
          <w:rFonts w:cs="Arial"/>
        </w:rPr>
        <w:t xml:space="preserve"> an applicant’s requested amount of </w:t>
      </w:r>
      <w:r>
        <w:rPr>
          <w:rFonts w:cs="Arial"/>
        </w:rPr>
        <w:t>grant</w:t>
      </w:r>
      <w:r w:rsidRPr="003B4694">
        <w:rPr>
          <w:rFonts w:cs="Arial"/>
        </w:rPr>
        <w:t xml:space="preserve"> funding per financial year should include</w:t>
      </w:r>
      <w:r w:rsidR="0087683E">
        <w:rPr>
          <w:rFonts w:cs="Arial"/>
        </w:rPr>
        <w:t xml:space="preserve"> </w:t>
      </w:r>
      <w:r w:rsidRPr="00F87F43">
        <w:rPr>
          <w:rFonts w:cs="Arial"/>
        </w:rPr>
        <w:t xml:space="preserve">costs for translating and interpreting services (and other requirements for ensuring accessibility) if required. A Translating and Interpreting Services costing tool is provided in the </w:t>
      </w:r>
      <w:r>
        <w:rPr>
          <w:rFonts w:cs="Arial"/>
        </w:rPr>
        <w:t>grant</w:t>
      </w:r>
      <w:r w:rsidRPr="00F87F43">
        <w:rPr>
          <w:rFonts w:cs="Arial"/>
        </w:rPr>
        <w:t xml:space="preserve"> opportunity documentation on the </w:t>
      </w:r>
      <w:hyperlink r:id="rId40" w:history="1">
        <w:r>
          <w:rPr>
            <w:rStyle w:val="Hyperlink"/>
            <w:rFonts w:cs="Arial"/>
            <w:u w:color="0070C0"/>
          </w:rPr>
          <w:t>Grant</w:t>
        </w:r>
        <w:r w:rsidRPr="00F87F43">
          <w:rPr>
            <w:rStyle w:val="Hyperlink"/>
            <w:rFonts w:cs="Arial"/>
            <w:u w:color="0070C0"/>
          </w:rPr>
          <w:t>Connect</w:t>
        </w:r>
      </w:hyperlink>
      <w:r w:rsidRPr="00F87F43">
        <w:rPr>
          <w:rFonts w:cs="Arial"/>
        </w:rPr>
        <w:t xml:space="preserve"> website. </w:t>
      </w:r>
    </w:p>
    <w:p w14:paraId="61A1EF61" w14:textId="77777777" w:rsidR="007568B1" w:rsidRPr="003B4694" w:rsidRDefault="007568B1" w:rsidP="007568B1">
      <w:pPr>
        <w:spacing w:before="120"/>
        <w:rPr>
          <w:rFonts w:cs="Arial"/>
        </w:rPr>
      </w:pPr>
      <w:r w:rsidRPr="003B4694">
        <w:rPr>
          <w:rFonts w:cs="Arial"/>
        </w:rPr>
        <w:t>Any other anticipated increase in costs should be included in the out-years as appropriate.</w:t>
      </w:r>
    </w:p>
    <w:p w14:paraId="1C694BF6" w14:textId="77777777" w:rsidR="007568B1" w:rsidRPr="003B4694" w:rsidRDefault="007568B1" w:rsidP="007568B1">
      <w:pPr>
        <w:spacing w:before="120"/>
        <w:rPr>
          <w:rFonts w:cs="Arial"/>
        </w:rPr>
      </w:pPr>
      <w:r w:rsidRPr="003B4694">
        <w:rPr>
          <w:rFonts w:cs="Arial"/>
        </w:rPr>
        <w:t xml:space="preserve">A budget template is available as part of the </w:t>
      </w:r>
      <w:r>
        <w:rPr>
          <w:rFonts w:cs="Arial"/>
        </w:rPr>
        <w:t>grant</w:t>
      </w:r>
      <w:r w:rsidRPr="003B4694">
        <w:rPr>
          <w:rFonts w:cs="Arial"/>
        </w:rPr>
        <w:t xml:space="preserve"> opportunity documentation on the </w:t>
      </w:r>
      <w:hyperlink r:id="rId41" w:history="1">
        <w:r>
          <w:rPr>
            <w:rStyle w:val="Hyperlink"/>
            <w:rFonts w:cs="Arial"/>
            <w:u w:color="0070C0"/>
          </w:rPr>
          <w:t>Grant</w:t>
        </w:r>
        <w:r w:rsidRPr="003B4694">
          <w:rPr>
            <w:rStyle w:val="Hyperlink"/>
            <w:rFonts w:cs="Arial"/>
            <w:u w:color="0070C0"/>
          </w:rPr>
          <w:t>Connect</w:t>
        </w:r>
      </w:hyperlink>
      <w:r w:rsidRPr="003B4694">
        <w:rPr>
          <w:rFonts w:cs="Arial"/>
        </w:rPr>
        <w:t xml:space="preserve"> website.</w:t>
      </w:r>
    </w:p>
    <w:p w14:paraId="0E93D4A4" w14:textId="77777777" w:rsidR="007568B1" w:rsidRPr="0087683E" w:rsidRDefault="007568B1" w:rsidP="0087683E">
      <w:pPr>
        <w:spacing w:before="120"/>
        <w:rPr>
          <w:rFonts w:eastAsiaTheme="minorHAnsi" w:cs="Arial"/>
        </w:rPr>
      </w:pPr>
      <w:r w:rsidRPr="0087683E">
        <w:rPr>
          <w:rFonts w:cs="Arial"/>
        </w:rPr>
        <w:t>Financial</w:t>
      </w:r>
      <w:r w:rsidRPr="0087683E">
        <w:rPr>
          <w:rFonts w:eastAsiaTheme="minorHAnsi" w:cs="Arial"/>
        </w:rPr>
        <w:t xml:space="preserve"> statements for the 2016-17 and 2017-18 financial years, inclusive of profit and loss statements and balance sheets. If possible, please submit audited financial statements that include signed audit reports</w:t>
      </w:r>
    </w:p>
    <w:p w14:paraId="58515ADD" w14:textId="77777777" w:rsidR="007568B1" w:rsidRPr="00A84852" w:rsidRDefault="007568B1" w:rsidP="007568B1">
      <w:pPr>
        <w:suppressAutoHyphens/>
        <w:spacing w:before="120"/>
        <w:rPr>
          <w:rFonts w:eastAsiaTheme="minorHAnsi" w:cs="Arial"/>
        </w:rPr>
      </w:pPr>
      <w:r w:rsidRPr="00A84852">
        <w:rPr>
          <w:rFonts w:cs="Arial"/>
        </w:rPr>
        <w:t xml:space="preserve">The following document </w:t>
      </w:r>
      <w:r w:rsidRPr="00A84852">
        <w:rPr>
          <w:rFonts w:cs="Arial"/>
          <w:b/>
          <w:bCs/>
        </w:rPr>
        <w:t>should</w:t>
      </w:r>
      <w:r w:rsidRPr="00A84852">
        <w:rPr>
          <w:rFonts w:cs="Arial"/>
        </w:rPr>
        <w:t xml:space="preserve"> be included with your application form</w:t>
      </w:r>
      <w:r w:rsidRPr="00A84852">
        <w:rPr>
          <w:rFonts w:cs="Arial"/>
          <w:b/>
          <w:bCs/>
        </w:rPr>
        <w:t xml:space="preserve"> if your entity is unable to provide financial statements</w:t>
      </w:r>
      <w:r w:rsidRPr="00A84852">
        <w:rPr>
          <w:rFonts w:cs="Arial"/>
        </w:rPr>
        <w:t>:</w:t>
      </w:r>
    </w:p>
    <w:p w14:paraId="4417AE78" w14:textId="77777777" w:rsidR="007568B1" w:rsidRPr="00F87F43" w:rsidRDefault="007568B1" w:rsidP="00C342EE">
      <w:pPr>
        <w:pStyle w:val="ListParagraph"/>
        <w:numPr>
          <w:ilvl w:val="0"/>
          <w:numId w:val="37"/>
        </w:numPr>
        <w:suppressAutoHyphens/>
        <w:spacing w:before="120"/>
        <w:contextualSpacing w:val="0"/>
        <w:rPr>
          <w:rFonts w:cs="Arial"/>
        </w:rPr>
      </w:pPr>
      <w:r w:rsidRPr="00F87F43">
        <w:rPr>
          <w:rFonts w:cs="Arial"/>
        </w:rPr>
        <w:t>The Attachment in place of financial statements document.</w:t>
      </w:r>
    </w:p>
    <w:p w14:paraId="5B8D17CB" w14:textId="77777777" w:rsidR="007568B1" w:rsidRPr="00FE1F2D" w:rsidRDefault="007568B1" w:rsidP="007568B1">
      <w:pPr>
        <w:spacing w:before="120"/>
        <w:rPr>
          <w:rFonts w:cs="Arial"/>
        </w:rPr>
      </w:pPr>
      <w:r w:rsidRPr="003B4694">
        <w:rPr>
          <w:rFonts w:cs="Arial"/>
        </w:rPr>
        <w:t xml:space="preserve">The </w:t>
      </w:r>
      <w:r w:rsidRPr="003B4694">
        <w:rPr>
          <w:rFonts w:cs="Arial"/>
          <w:i/>
          <w:iCs/>
        </w:rPr>
        <w:t>Attachment in place of financial statements</w:t>
      </w:r>
      <w:r w:rsidRPr="003B4694">
        <w:rPr>
          <w:rFonts w:cs="Arial"/>
        </w:rPr>
        <w:t xml:space="preserve"> document is available as part of the </w:t>
      </w:r>
      <w:r>
        <w:rPr>
          <w:rFonts w:cs="Arial"/>
        </w:rPr>
        <w:t>grant</w:t>
      </w:r>
      <w:r w:rsidRPr="003B4694">
        <w:rPr>
          <w:rFonts w:cs="Arial"/>
        </w:rPr>
        <w:t xml:space="preserve"> opportunity documentation on the </w:t>
      </w:r>
      <w:hyperlink r:id="rId42" w:history="1">
        <w:r>
          <w:rPr>
            <w:rStyle w:val="Hyperlink"/>
            <w:rFonts w:cs="Arial"/>
            <w:u w:color="0070C0"/>
          </w:rPr>
          <w:t>Grant</w:t>
        </w:r>
        <w:r w:rsidRPr="003B4694">
          <w:rPr>
            <w:rStyle w:val="Hyperlink"/>
            <w:rFonts w:cs="Arial"/>
            <w:u w:color="0070C0"/>
          </w:rPr>
          <w:t>Connect</w:t>
        </w:r>
      </w:hyperlink>
      <w:r w:rsidRPr="003B4694">
        <w:rPr>
          <w:rFonts w:cs="Arial"/>
        </w:rPr>
        <w:t xml:space="preserve"> website.</w:t>
      </w:r>
    </w:p>
    <w:p w14:paraId="4ED6BDA8" w14:textId="77777777" w:rsidR="007568B1" w:rsidRPr="00FE1F2D" w:rsidRDefault="007568B1" w:rsidP="007568B1">
      <w:pPr>
        <w:spacing w:before="120"/>
        <w:rPr>
          <w:rFonts w:cs="Arial"/>
        </w:rPr>
      </w:pPr>
      <w:r w:rsidRPr="00FE1F2D">
        <w:rPr>
          <w:rFonts w:cs="Arial"/>
        </w:rPr>
        <w:t>You must attach supporting documentation to the application form in line with the instructions provided within the form. You should only attach requested documents. We will not consider information in attachments that we do not request.</w:t>
      </w:r>
    </w:p>
    <w:p w14:paraId="1F36B9FD" w14:textId="77777777" w:rsidR="007568B1" w:rsidRPr="00FE1F2D" w:rsidRDefault="007568B1" w:rsidP="007568B1">
      <w:pPr>
        <w:spacing w:before="120"/>
        <w:rPr>
          <w:rFonts w:cs="Arial"/>
        </w:rPr>
      </w:pPr>
      <w:r w:rsidRPr="00FE1F2D">
        <w:rPr>
          <w:rFonts w:cs="Arial"/>
          <w:b/>
        </w:rPr>
        <w:t>Please note</w:t>
      </w:r>
      <w:r w:rsidRPr="00FE1F2D">
        <w:rPr>
          <w:rFonts w:cs="Arial"/>
        </w:rPr>
        <w:t xml:space="preserve">: There is a 2mb limit for each attachment. </w:t>
      </w:r>
    </w:p>
    <w:p w14:paraId="1189DE3A" w14:textId="77777777" w:rsidR="007568B1" w:rsidRDefault="007568B1" w:rsidP="007568B1">
      <w:pPr>
        <w:pStyle w:val="Heading3"/>
      </w:pPr>
      <w:bookmarkStart w:id="89" w:name="_Toc536619111"/>
      <w:bookmarkStart w:id="90" w:name="_Toc3559237"/>
      <w:r>
        <w:lastRenderedPageBreak/>
        <w:t>Joint (consortia) applications</w:t>
      </w:r>
      <w:bookmarkEnd w:id="89"/>
      <w:bookmarkEnd w:id="90"/>
    </w:p>
    <w:p w14:paraId="711F1D33" w14:textId="77777777" w:rsidR="007568B1" w:rsidRPr="00FE1F2D" w:rsidRDefault="007568B1" w:rsidP="007568B1">
      <w:pPr>
        <w:spacing w:before="120"/>
        <w:rPr>
          <w:rFonts w:cs="Arial"/>
        </w:rPr>
      </w:pPr>
      <w:r w:rsidRPr="00FE1F2D">
        <w:rPr>
          <w:rFonts w:cs="Arial"/>
        </w:rPr>
        <w:t>We</w:t>
      </w:r>
      <w:r w:rsidRPr="00FE1F2D">
        <w:rPr>
          <w:rFonts w:cs="Arial"/>
          <w:color w:val="0070C0"/>
        </w:rPr>
        <w:t xml:space="preserve"> </w:t>
      </w:r>
      <w:r w:rsidRPr="00FE1F2D">
        <w:rPr>
          <w:rFonts w:cs="Arial"/>
        </w:rPr>
        <w:t xml:space="preserve">recognise that some organisations may want to join together as a group to deliver the SETS </w:t>
      </w:r>
      <w:r>
        <w:rPr>
          <w:rFonts w:cs="Arial"/>
        </w:rPr>
        <w:t>grant</w:t>
      </w:r>
      <w:r w:rsidRPr="00FE1F2D">
        <w:rPr>
          <w:rFonts w:cs="Arial"/>
        </w:rPr>
        <w:t xml:space="preserve"> activity. </w:t>
      </w:r>
    </w:p>
    <w:p w14:paraId="51B02E54" w14:textId="77777777" w:rsidR="007568B1" w:rsidRPr="00FE1F2D" w:rsidRDefault="007568B1" w:rsidP="007568B1">
      <w:pPr>
        <w:spacing w:before="120"/>
        <w:rPr>
          <w:rFonts w:cs="Arial"/>
        </w:rPr>
      </w:pPr>
      <w:r w:rsidRPr="00FE1F2D">
        <w:rPr>
          <w:rFonts w:cs="Arial"/>
        </w:rPr>
        <w:t>Eligible organisations can form a consortia with ineligible organisations.</w:t>
      </w:r>
    </w:p>
    <w:p w14:paraId="6EEE2FA5" w14:textId="77777777" w:rsidR="007568B1" w:rsidRPr="00FE1F2D" w:rsidRDefault="007568B1" w:rsidP="007568B1">
      <w:pPr>
        <w:spacing w:before="120"/>
        <w:rPr>
          <w:rFonts w:cs="Arial"/>
        </w:rPr>
      </w:pPr>
      <w:r w:rsidRPr="00FE1F2D">
        <w:rPr>
          <w:rFonts w:cs="Arial"/>
        </w:rPr>
        <w:t xml:space="preserve">In these circumstances, the eligible invited organisation (refer to </w:t>
      </w:r>
      <w:r>
        <w:rPr>
          <w:rFonts w:cs="Arial"/>
        </w:rPr>
        <w:t>S</w:t>
      </w:r>
      <w:r w:rsidRPr="00FE1F2D">
        <w:rPr>
          <w:rFonts w:cs="Arial"/>
        </w:rPr>
        <w:t xml:space="preserve">ection 4.1) must be appointed as the ‘lead organisation’. Only the lead organisation can submit the application form and enter into a </w:t>
      </w:r>
      <w:r>
        <w:rPr>
          <w:rFonts w:cs="Arial"/>
        </w:rPr>
        <w:t>grant agreement</w:t>
      </w:r>
      <w:r w:rsidRPr="00FE1F2D">
        <w:rPr>
          <w:rFonts w:cs="Arial"/>
        </w:rPr>
        <w:t xml:space="preserve"> with the Commonwealth. The application must identify all other members of the proposed group and include a letter of support from each of the partners. </w:t>
      </w:r>
    </w:p>
    <w:p w14:paraId="42A6B2B2" w14:textId="77777777" w:rsidR="007568B1" w:rsidRPr="00FE1F2D" w:rsidRDefault="007568B1" w:rsidP="007568B1">
      <w:pPr>
        <w:spacing w:before="120"/>
        <w:rPr>
          <w:rFonts w:cs="Arial"/>
        </w:rPr>
      </w:pPr>
      <w:r w:rsidRPr="00FE1F2D">
        <w:rPr>
          <w:rFonts w:cs="Arial"/>
        </w:rPr>
        <w:t>Each letter of support should include:</w:t>
      </w:r>
    </w:p>
    <w:p w14:paraId="102223EB" w14:textId="77777777" w:rsidR="007568B1" w:rsidRPr="00FE1F2D" w:rsidRDefault="007568B1" w:rsidP="007568B1">
      <w:pPr>
        <w:pStyle w:val="ListBullet"/>
        <w:spacing w:before="120" w:after="120"/>
        <w:rPr>
          <w:rFonts w:cs="Arial"/>
        </w:rPr>
      </w:pPr>
      <w:r w:rsidRPr="00FE1F2D">
        <w:rPr>
          <w:rFonts w:cs="Arial"/>
        </w:rPr>
        <w:t>details of the partner organisation</w:t>
      </w:r>
    </w:p>
    <w:p w14:paraId="08C8AC44" w14:textId="77777777" w:rsidR="007568B1" w:rsidRPr="00FE1F2D" w:rsidRDefault="007568B1" w:rsidP="007568B1">
      <w:pPr>
        <w:pStyle w:val="ListBullet"/>
        <w:spacing w:before="120" w:after="120"/>
        <w:rPr>
          <w:rFonts w:cs="Arial"/>
        </w:rPr>
      </w:pPr>
      <w:r w:rsidRPr="00FE1F2D">
        <w:rPr>
          <w:rFonts w:cs="Arial"/>
        </w:rPr>
        <w:t xml:space="preserve">an overview of how the partner organisation will work with the lead organisation and any other partner organisations in the group to successfully complete the </w:t>
      </w:r>
      <w:r>
        <w:rPr>
          <w:rFonts w:cs="Arial"/>
        </w:rPr>
        <w:t>SETS activity</w:t>
      </w:r>
    </w:p>
    <w:p w14:paraId="15856188" w14:textId="77777777" w:rsidR="007568B1" w:rsidRPr="00FE1F2D" w:rsidRDefault="007568B1" w:rsidP="007568B1">
      <w:pPr>
        <w:pStyle w:val="ListBullet"/>
        <w:spacing w:before="120" w:after="120"/>
        <w:rPr>
          <w:rFonts w:cs="Arial"/>
        </w:rPr>
      </w:pPr>
      <w:r w:rsidRPr="00FE1F2D">
        <w:rPr>
          <w:rFonts w:cs="Arial"/>
        </w:rPr>
        <w:t>an outline of the relevant experience and/or expertise the partner organisation will bring to the group</w:t>
      </w:r>
      <w:r>
        <w:rPr>
          <w:rFonts w:cs="Arial"/>
        </w:rPr>
        <w:t>, and</w:t>
      </w:r>
    </w:p>
    <w:p w14:paraId="38FB540E" w14:textId="77777777" w:rsidR="007568B1" w:rsidRPr="00FE1F2D" w:rsidRDefault="007568B1" w:rsidP="007568B1">
      <w:pPr>
        <w:pStyle w:val="ListBullet"/>
        <w:spacing w:before="120" w:after="120"/>
        <w:rPr>
          <w:rFonts w:cs="Arial"/>
        </w:rPr>
      </w:pPr>
      <w:r w:rsidRPr="00FE1F2D">
        <w:rPr>
          <w:rFonts w:cs="Arial"/>
        </w:rPr>
        <w:t>the roles/responsibilities of the partner organisation and the resources they will contribute (if any)</w:t>
      </w:r>
      <w:r>
        <w:rPr>
          <w:rFonts w:cs="Arial"/>
        </w:rPr>
        <w:t>.</w:t>
      </w:r>
    </w:p>
    <w:p w14:paraId="1CD47907" w14:textId="77777777" w:rsidR="007568B1" w:rsidRPr="00FE1F2D" w:rsidRDefault="007568B1" w:rsidP="007568B1">
      <w:pPr>
        <w:spacing w:before="120"/>
        <w:rPr>
          <w:rFonts w:cs="Arial"/>
        </w:rPr>
      </w:pPr>
      <w:r w:rsidRPr="00FE1F2D">
        <w:rPr>
          <w:rFonts w:cs="Arial"/>
        </w:rPr>
        <w:t xml:space="preserve">You must have a formal arrangement in place with all parties prior to execution of the </w:t>
      </w:r>
      <w:r>
        <w:rPr>
          <w:rFonts w:cs="Arial"/>
        </w:rPr>
        <w:t>agreement</w:t>
      </w:r>
      <w:r w:rsidRPr="00FE1F2D">
        <w:rPr>
          <w:rFonts w:cs="Arial"/>
        </w:rPr>
        <w:t xml:space="preserve">. </w:t>
      </w:r>
    </w:p>
    <w:p w14:paraId="1E33B027" w14:textId="77777777" w:rsidR="007568B1" w:rsidRDefault="007568B1" w:rsidP="007568B1">
      <w:pPr>
        <w:pStyle w:val="Heading3"/>
      </w:pPr>
      <w:bookmarkStart w:id="91" w:name="_Toc3559238"/>
      <w:r>
        <w:t>Timing of grant opportunity processes</w:t>
      </w:r>
      <w:bookmarkEnd w:id="91"/>
    </w:p>
    <w:p w14:paraId="3FF97AE5" w14:textId="77777777" w:rsidR="007568B1" w:rsidRPr="00FE1F2D" w:rsidRDefault="007568B1" w:rsidP="007568B1">
      <w:pPr>
        <w:spacing w:before="120"/>
        <w:rPr>
          <w:rFonts w:cs="Arial"/>
        </w:rPr>
      </w:pPr>
      <w:r w:rsidRPr="00FE1F2D">
        <w:rPr>
          <w:rFonts w:cs="Arial"/>
        </w:rPr>
        <w:t xml:space="preserve">You must submit an application between the published opening and closing dates. </w:t>
      </w:r>
    </w:p>
    <w:p w14:paraId="60EC7BE8" w14:textId="77777777" w:rsidR="007568B1" w:rsidRPr="00FE1F2D" w:rsidRDefault="007568B1" w:rsidP="007568B1">
      <w:pPr>
        <w:spacing w:before="120"/>
        <w:rPr>
          <w:rFonts w:cs="Arial"/>
          <w:b/>
          <w:bCs/>
        </w:rPr>
      </w:pPr>
      <w:r w:rsidRPr="00FE1F2D">
        <w:rPr>
          <w:rFonts w:cs="Arial"/>
          <w:b/>
          <w:bCs/>
        </w:rPr>
        <w:t>Late applications</w:t>
      </w:r>
    </w:p>
    <w:p w14:paraId="6B5A4F84" w14:textId="77777777" w:rsidR="007568B1" w:rsidRPr="00FE1F2D" w:rsidRDefault="007568B1" w:rsidP="007568B1">
      <w:pPr>
        <w:spacing w:before="120"/>
        <w:rPr>
          <w:rFonts w:cs="Arial"/>
        </w:rPr>
      </w:pPr>
      <w:r w:rsidRPr="00FE1F2D">
        <w:rPr>
          <w:rFonts w:cs="Arial"/>
        </w:rPr>
        <w:t>We will not accept late applications unless an applicant has experienced exceptional circumstances that prevent the submission of the application. Broadly, exceptional circumstances are events characterised by one or more of the following:</w:t>
      </w:r>
    </w:p>
    <w:p w14:paraId="02A96BCD" w14:textId="77777777" w:rsidR="007568B1" w:rsidRPr="00FE1F2D" w:rsidRDefault="007568B1" w:rsidP="0087683E">
      <w:pPr>
        <w:pStyle w:val="ListBullet"/>
        <w:spacing w:before="120" w:after="120"/>
        <w:rPr>
          <w:rFonts w:cs="Arial"/>
        </w:rPr>
      </w:pPr>
      <w:r w:rsidRPr="00FE1F2D">
        <w:rPr>
          <w:rFonts w:cs="Arial"/>
        </w:rPr>
        <w:t>reasonably unforeseeable</w:t>
      </w:r>
    </w:p>
    <w:p w14:paraId="389939DE" w14:textId="77777777" w:rsidR="007568B1" w:rsidRPr="00FE1F2D" w:rsidRDefault="007568B1" w:rsidP="0087683E">
      <w:pPr>
        <w:pStyle w:val="ListBullet"/>
        <w:spacing w:before="120" w:after="120"/>
        <w:rPr>
          <w:rFonts w:cs="Arial"/>
        </w:rPr>
      </w:pPr>
      <w:r w:rsidRPr="00FE1F2D">
        <w:rPr>
          <w:rFonts w:cs="Arial"/>
        </w:rPr>
        <w:t>beyond the applicant’s control</w:t>
      </w:r>
    </w:p>
    <w:p w14:paraId="694DBB70" w14:textId="77777777" w:rsidR="007568B1" w:rsidRPr="00FE1F2D" w:rsidRDefault="007568B1" w:rsidP="0087683E">
      <w:pPr>
        <w:pStyle w:val="ListBullet"/>
        <w:spacing w:before="120" w:after="120"/>
        <w:rPr>
          <w:rFonts w:cs="Arial"/>
        </w:rPr>
      </w:pPr>
      <w:r w:rsidRPr="00FE1F2D">
        <w:rPr>
          <w:rFonts w:cs="Arial"/>
        </w:rPr>
        <w:t xml:space="preserve">unable to be managed or resolved within the application period. </w:t>
      </w:r>
    </w:p>
    <w:p w14:paraId="661C9499" w14:textId="77777777" w:rsidR="007568B1" w:rsidRPr="00FE1F2D" w:rsidRDefault="007568B1" w:rsidP="007568B1">
      <w:pPr>
        <w:spacing w:before="120"/>
        <w:rPr>
          <w:rFonts w:cs="Arial"/>
        </w:rPr>
      </w:pPr>
      <w:r w:rsidRPr="00FE1F2D">
        <w:rPr>
          <w:rFonts w:cs="Arial"/>
        </w:rPr>
        <w:t>Exceptional circumstances will be considered on their merits and in accordance with probity principles.</w:t>
      </w:r>
    </w:p>
    <w:p w14:paraId="717D9469" w14:textId="77777777" w:rsidR="007568B1" w:rsidRPr="00FE1F2D" w:rsidRDefault="007568B1" w:rsidP="007568B1">
      <w:pPr>
        <w:spacing w:before="120"/>
        <w:rPr>
          <w:rFonts w:cs="Arial"/>
          <w:b/>
          <w:bCs/>
        </w:rPr>
      </w:pPr>
      <w:r w:rsidRPr="00FE1F2D">
        <w:rPr>
          <w:rFonts w:cs="Arial"/>
          <w:b/>
          <w:bCs/>
        </w:rPr>
        <w:t>How to lodge a late application</w:t>
      </w:r>
    </w:p>
    <w:p w14:paraId="79B37062" w14:textId="77777777" w:rsidR="007568B1" w:rsidRPr="00FE1F2D" w:rsidRDefault="007568B1" w:rsidP="007568B1">
      <w:pPr>
        <w:spacing w:before="120"/>
        <w:rPr>
          <w:rFonts w:cs="Arial"/>
        </w:rPr>
      </w:pPr>
      <w:r w:rsidRPr="00FE1F2D">
        <w:rPr>
          <w:rFonts w:cs="Arial"/>
        </w:rPr>
        <w:t xml:space="preserve">Applicants seeking to submit a late application will be required to submit a late application request to the Community </w:t>
      </w:r>
      <w:r>
        <w:rPr>
          <w:rFonts w:cs="Arial"/>
        </w:rPr>
        <w:t>Grant</w:t>
      </w:r>
      <w:r w:rsidRPr="00FE1F2D">
        <w:rPr>
          <w:rFonts w:cs="Arial"/>
        </w:rPr>
        <w:t xml:space="preserve">s Hub Hotline via </w:t>
      </w:r>
      <w:hyperlink r:id="rId43" w:history="1">
        <w:r w:rsidRPr="00F575CA">
          <w:rPr>
            <w:rStyle w:val="Hyperlink"/>
            <w:rFonts w:cs="Arial"/>
          </w:rPr>
          <w:t>support@community</w:t>
        </w:r>
        <w:r>
          <w:rPr>
            <w:rStyle w:val="Hyperlink"/>
            <w:rFonts w:cs="Arial"/>
          </w:rPr>
          <w:t>grant</w:t>
        </w:r>
        <w:r w:rsidRPr="00F575CA">
          <w:rPr>
            <w:rStyle w:val="Hyperlink"/>
            <w:rFonts w:cs="Arial"/>
          </w:rPr>
          <w:t>s.gov.au</w:t>
        </w:r>
      </w:hyperlink>
      <w:r w:rsidRPr="00FE1F2D">
        <w:rPr>
          <w:rFonts w:cs="Arial"/>
        </w:rPr>
        <w:t>.</w:t>
      </w:r>
    </w:p>
    <w:p w14:paraId="73EB63B3" w14:textId="77777777" w:rsidR="007568B1" w:rsidRPr="00FE1F2D" w:rsidRDefault="007568B1" w:rsidP="007568B1">
      <w:pPr>
        <w:pStyle w:val="BodyText"/>
        <w:spacing w:line="280" w:lineRule="atLeast"/>
        <w:rPr>
          <w:rFonts w:cs="Arial"/>
          <w:sz w:val="20"/>
          <w:szCs w:val="20"/>
        </w:rPr>
      </w:pPr>
      <w:r w:rsidRPr="00FE1F2D">
        <w:rPr>
          <w:rFonts w:cs="Arial"/>
          <w:sz w:val="20"/>
          <w:szCs w:val="20"/>
        </w:rPr>
        <w:t xml:space="preserve">The request should include a detailed explanation of the circumstances that prevented the application being submitted prior to the closing time. Where appropriate, supporting evidence can be provided to verify the claim of exceptional circumstances. </w:t>
      </w:r>
    </w:p>
    <w:p w14:paraId="285CACDC" w14:textId="77777777" w:rsidR="007568B1" w:rsidRPr="00FE1F2D" w:rsidRDefault="007568B1" w:rsidP="007568B1">
      <w:pPr>
        <w:spacing w:before="120"/>
        <w:rPr>
          <w:rFonts w:cs="Arial"/>
        </w:rPr>
      </w:pPr>
      <w:r w:rsidRPr="00FE1F2D">
        <w:rPr>
          <w:rFonts w:cs="Arial"/>
        </w:rPr>
        <w:t xml:space="preserve">Written requests to lodge a late application will only be accepted within three days after the </w:t>
      </w:r>
      <w:r>
        <w:rPr>
          <w:rFonts w:cs="Arial"/>
        </w:rPr>
        <w:t>grant</w:t>
      </w:r>
      <w:r w:rsidRPr="00FE1F2D">
        <w:rPr>
          <w:rFonts w:cs="Arial"/>
        </w:rPr>
        <w:t xml:space="preserve"> opportunity has closed. </w:t>
      </w:r>
    </w:p>
    <w:p w14:paraId="06603DE1" w14:textId="77777777" w:rsidR="007568B1" w:rsidRPr="00FE1F2D" w:rsidRDefault="007568B1" w:rsidP="007568B1">
      <w:pPr>
        <w:spacing w:before="120"/>
        <w:rPr>
          <w:rFonts w:cs="Arial"/>
          <w:lang w:eastAsia="en-AU"/>
        </w:rPr>
      </w:pPr>
      <w:r w:rsidRPr="00FE1F2D">
        <w:rPr>
          <w:rFonts w:cs="Arial"/>
        </w:rPr>
        <w:lastRenderedPageBreak/>
        <w:t>The Delegate or their appointed representative</w:t>
      </w:r>
      <w:r w:rsidRPr="00FE1F2D">
        <w:rPr>
          <w:rStyle w:val="FootnoteReference"/>
          <w:rFonts w:cs="Arial"/>
        </w:rPr>
        <w:footnoteReference w:customMarkFollows="1" w:id="6"/>
        <w:t>[1]</w:t>
      </w:r>
      <w:r w:rsidRPr="00FE1F2D">
        <w:rPr>
          <w:rFonts w:cs="Arial"/>
        </w:rPr>
        <w:t xml:space="preserve"> will determine whether a late application will be accepted. The decision of the delegate will be final and not be subject to a review or appeals process.</w:t>
      </w:r>
    </w:p>
    <w:p w14:paraId="35329EEE" w14:textId="77777777" w:rsidR="007568B1" w:rsidRPr="00FE1F2D" w:rsidRDefault="007568B1" w:rsidP="007568B1">
      <w:pPr>
        <w:spacing w:before="120"/>
        <w:rPr>
          <w:rFonts w:cs="Arial"/>
        </w:rPr>
      </w:pPr>
      <w:r w:rsidRPr="00FE1F2D">
        <w:rPr>
          <w:rFonts w:cs="Arial"/>
        </w:rPr>
        <w:t xml:space="preserve">Once the outcome is determined, the Community </w:t>
      </w:r>
      <w:r>
        <w:rPr>
          <w:rFonts w:cs="Arial"/>
        </w:rPr>
        <w:t>Grant</w:t>
      </w:r>
      <w:r w:rsidRPr="00FE1F2D">
        <w:rPr>
          <w:rFonts w:cs="Arial"/>
        </w:rPr>
        <w:t>s Hub will advise the applicant if their request is accepted or declined.</w:t>
      </w:r>
    </w:p>
    <w:p w14:paraId="7207E128" w14:textId="77777777" w:rsidR="007568B1" w:rsidRPr="00FE1F2D" w:rsidRDefault="007568B1" w:rsidP="007568B1">
      <w:pPr>
        <w:spacing w:before="120"/>
        <w:rPr>
          <w:rFonts w:cs="Arial"/>
          <w:b/>
        </w:rPr>
      </w:pPr>
      <w:r w:rsidRPr="00FE1F2D">
        <w:rPr>
          <w:rFonts w:cs="Arial"/>
          <w:b/>
        </w:rPr>
        <w:t xml:space="preserve">Expected timing for this </w:t>
      </w:r>
      <w:r>
        <w:rPr>
          <w:rFonts w:cs="Arial"/>
          <w:b/>
        </w:rPr>
        <w:t>grant</w:t>
      </w:r>
      <w:r w:rsidRPr="00FE1F2D">
        <w:rPr>
          <w:rFonts w:cs="Arial"/>
          <w:b/>
        </w:rPr>
        <w:t xml:space="preserve"> opportunity </w:t>
      </w:r>
    </w:p>
    <w:p w14:paraId="3355AD6C" w14:textId="77777777" w:rsidR="007568B1" w:rsidRPr="00FE1F2D" w:rsidRDefault="007568B1" w:rsidP="007568B1">
      <w:pPr>
        <w:spacing w:before="120"/>
        <w:rPr>
          <w:rFonts w:cs="Arial"/>
        </w:rPr>
      </w:pPr>
      <w:r w:rsidRPr="00FE1F2D">
        <w:rPr>
          <w:rFonts w:cs="Arial"/>
        </w:rPr>
        <w:t xml:space="preserve">If you are successful, you will be expected be able to commence your </w:t>
      </w:r>
      <w:r>
        <w:rPr>
          <w:rFonts w:cs="Arial"/>
        </w:rPr>
        <w:t>SETS activity</w:t>
      </w:r>
      <w:r w:rsidRPr="00FE1F2D">
        <w:rPr>
          <w:rFonts w:cs="Arial"/>
        </w:rPr>
        <w:t xml:space="preserve"> around July 2019.</w:t>
      </w:r>
    </w:p>
    <w:p w14:paraId="78EAE5AB" w14:textId="77777777" w:rsidR="007568B1" w:rsidRPr="00FE1F2D" w:rsidRDefault="007568B1" w:rsidP="007568B1">
      <w:pPr>
        <w:pStyle w:val="Caption"/>
        <w:keepNext/>
        <w:spacing w:before="120"/>
        <w:rPr>
          <w:rFonts w:cs="Arial"/>
          <w:color w:val="auto"/>
          <w:szCs w:val="20"/>
        </w:rPr>
      </w:pPr>
      <w:r w:rsidRPr="00FE1F2D">
        <w:rPr>
          <w:rFonts w:cs="Arial"/>
          <w:bCs/>
          <w:color w:val="auto"/>
          <w:szCs w:val="20"/>
        </w:rPr>
        <w:t xml:space="preserve">Table 1: Expected timing for this </w:t>
      </w:r>
      <w:r>
        <w:rPr>
          <w:rFonts w:cs="Arial"/>
          <w:bCs/>
          <w:color w:val="auto"/>
          <w:szCs w:val="20"/>
        </w:rPr>
        <w:t>grant</w:t>
      </w:r>
      <w:r w:rsidRPr="00FE1F2D">
        <w:rPr>
          <w:rFonts w:cs="Arial"/>
          <w:bCs/>
          <w:color w:val="auto"/>
          <w:szCs w:val="20"/>
        </w:rPr>
        <w:t xml:space="preserve"> opportunity</w:t>
      </w:r>
      <w:r w:rsidRPr="00FE1F2D">
        <w:rPr>
          <w:rFonts w:cs="Arial"/>
          <w:color w:val="auto"/>
          <w:szCs w:val="20"/>
        </w:rPr>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7568B1" w:rsidRPr="00DB5819" w14:paraId="0B604773" w14:textId="77777777" w:rsidTr="007877B3">
        <w:trPr>
          <w:cantSplit/>
          <w:tblHeader/>
        </w:trPr>
        <w:tc>
          <w:tcPr>
            <w:tcW w:w="4815" w:type="dxa"/>
            <w:shd w:val="clear" w:color="auto" w:fill="264F90"/>
          </w:tcPr>
          <w:p w14:paraId="6679BE5D" w14:textId="77777777" w:rsidR="007568B1" w:rsidRPr="00DB5819" w:rsidRDefault="007568B1" w:rsidP="007877B3">
            <w:pPr>
              <w:pStyle w:val="TableHeadingNumbered"/>
            </w:pPr>
            <w:r w:rsidRPr="00DB5819">
              <w:t>Activity</w:t>
            </w:r>
          </w:p>
        </w:tc>
        <w:tc>
          <w:tcPr>
            <w:tcW w:w="3974" w:type="dxa"/>
            <w:shd w:val="clear" w:color="auto" w:fill="264F90"/>
          </w:tcPr>
          <w:p w14:paraId="6788EFB1" w14:textId="77777777" w:rsidR="007568B1" w:rsidRPr="00DB5819" w:rsidRDefault="007568B1" w:rsidP="007877B3">
            <w:pPr>
              <w:pStyle w:val="TableHeadingNumbered"/>
            </w:pPr>
            <w:r w:rsidRPr="00DB5819">
              <w:t>Timeframe</w:t>
            </w:r>
          </w:p>
        </w:tc>
      </w:tr>
      <w:tr w:rsidR="007568B1" w14:paraId="0B774242" w14:textId="77777777" w:rsidTr="007877B3">
        <w:trPr>
          <w:cantSplit/>
        </w:trPr>
        <w:tc>
          <w:tcPr>
            <w:tcW w:w="4815" w:type="dxa"/>
          </w:tcPr>
          <w:p w14:paraId="07A1BAB5" w14:textId="77777777" w:rsidR="007568B1" w:rsidRPr="00B16B54" w:rsidRDefault="007568B1" w:rsidP="007877B3">
            <w:pPr>
              <w:pStyle w:val="TableText"/>
            </w:pPr>
            <w:r w:rsidRPr="00B16B54">
              <w:t>Assessment of applications</w:t>
            </w:r>
          </w:p>
        </w:tc>
        <w:tc>
          <w:tcPr>
            <w:tcW w:w="3974" w:type="dxa"/>
          </w:tcPr>
          <w:p w14:paraId="62846082" w14:textId="77777777" w:rsidR="007568B1" w:rsidRPr="00FE1F2D" w:rsidRDefault="007568B1" w:rsidP="007877B3">
            <w:pPr>
              <w:pStyle w:val="TableText"/>
              <w:rPr>
                <w:b/>
              </w:rPr>
            </w:pPr>
            <w:r>
              <w:t>April 2019</w:t>
            </w:r>
          </w:p>
        </w:tc>
      </w:tr>
      <w:tr w:rsidR="007568B1" w14:paraId="7E70B0B1" w14:textId="77777777" w:rsidTr="007877B3">
        <w:trPr>
          <w:cantSplit/>
        </w:trPr>
        <w:tc>
          <w:tcPr>
            <w:tcW w:w="4815" w:type="dxa"/>
          </w:tcPr>
          <w:p w14:paraId="79358815" w14:textId="77777777" w:rsidR="007568B1" w:rsidRPr="00B16B54" w:rsidRDefault="007568B1" w:rsidP="007877B3">
            <w:pPr>
              <w:pStyle w:val="TableText"/>
            </w:pPr>
            <w:r w:rsidRPr="00B16B54">
              <w:t>Approval of outcomes of selection process</w:t>
            </w:r>
          </w:p>
        </w:tc>
        <w:tc>
          <w:tcPr>
            <w:tcW w:w="3974" w:type="dxa"/>
          </w:tcPr>
          <w:p w14:paraId="15B290FB" w14:textId="77777777" w:rsidR="007568B1" w:rsidRPr="00572B01" w:rsidRDefault="007568B1" w:rsidP="007877B3">
            <w:pPr>
              <w:pStyle w:val="TableText"/>
            </w:pPr>
            <w:r w:rsidRPr="00572B01">
              <w:t>May 2019</w:t>
            </w:r>
          </w:p>
        </w:tc>
      </w:tr>
      <w:tr w:rsidR="007568B1" w14:paraId="64FA724A" w14:textId="77777777" w:rsidTr="007877B3">
        <w:trPr>
          <w:cantSplit/>
        </w:trPr>
        <w:tc>
          <w:tcPr>
            <w:tcW w:w="4815" w:type="dxa"/>
          </w:tcPr>
          <w:p w14:paraId="44376964" w14:textId="77777777" w:rsidR="007568B1" w:rsidRPr="00B16B54" w:rsidRDefault="007568B1" w:rsidP="007877B3">
            <w:pPr>
              <w:pStyle w:val="TableText"/>
            </w:pPr>
            <w:r w:rsidRPr="00B16B54">
              <w:t xml:space="preserve">Negotiations and award of </w:t>
            </w:r>
            <w:r>
              <w:t>grant agreement</w:t>
            </w:r>
            <w:r w:rsidRPr="00B16B54">
              <w:t>s</w:t>
            </w:r>
          </w:p>
        </w:tc>
        <w:tc>
          <w:tcPr>
            <w:tcW w:w="3974" w:type="dxa"/>
          </w:tcPr>
          <w:p w14:paraId="1CD2FB2B" w14:textId="77777777" w:rsidR="007568B1" w:rsidRPr="00572B01" w:rsidRDefault="007568B1" w:rsidP="007877B3">
            <w:pPr>
              <w:pStyle w:val="TableText"/>
            </w:pPr>
            <w:r w:rsidRPr="00572B01">
              <w:t>May 2019</w:t>
            </w:r>
          </w:p>
        </w:tc>
      </w:tr>
      <w:tr w:rsidR="007568B1" w14:paraId="0E81A9CE" w14:textId="77777777" w:rsidTr="007877B3">
        <w:trPr>
          <w:cantSplit/>
        </w:trPr>
        <w:tc>
          <w:tcPr>
            <w:tcW w:w="4815" w:type="dxa"/>
          </w:tcPr>
          <w:p w14:paraId="76FF80A2" w14:textId="77777777" w:rsidR="007568B1" w:rsidRPr="00B16B54" w:rsidRDefault="007568B1" w:rsidP="007877B3">
            <w:pPr>
              <w:pStyle w:val="TableText"/>
            </w:pPr>
            <w:r w:rsidRPr="00B16B54">
              <w:t>Notification to unsuccessful applicants</w:t>
            </w:r>
          </w:p>
        </w:tc>
        <w:tc>
          <w:tcPr>
            <w:tcW w:w="3974" w:type="dxa"/>
          </w:tcPr>
          <w:p w14:paraId="42F6BB71" w14:textId="77777777" w:rsidR="007568B1" w:rsidRPr="00572B01" w:rsidRDefault="007568B1" w:rsidP="007877B3">
            <w:pPr>
              <w:pStyle w:val="TableText"/>
            </w:pPr>
            <w:r w:rsidRPr="00572B01">
              <w:t>June 2019</w:t>
            </w:r>
          </w:p>
        </w:tc>
      </w:tr>
      <w:tr w:rsidR="007568B1" w14:paraId="4B410CEF" w14:textId="77777777" w:rsidTr="007877B3">
        <w:trPr>
          <w:cantSplit/>
        </w:trPr>
        <w:tc>
          <w:tcPr>
            <w:tcW w:w="4815" w:type="dxa"/>
          </w:tcPr>
          <w:p w14:paraId="1F5C0FD1" w14:textId="77777777" w:rsidR="007568B1" w:rsidRPr="00B16B54" w:rsidRDefault="007568B1" w:rsidP="007877B3">
            <w:pPr>
              <w:pStyle w:val="TableText"/>
            </w:pPr>
            <w:r>
              <w:t>Earliest start date of grant a</w:t>
            </w:r>
            <w:r w:rsidRPr="00B16B54">
              <w:t>ctivity</w:t>
            </w:r>
            <w:r>
              <w:t xml:space="preserve"> </w:t>
            </w:r>
          </w:p>
        </w:tc>
        <w:tc>
          <w:tcPr>
            <w:tcW w:w="3974" w:type="dxa"/>
          </w:tcPr>
          <w:p w14:paraId="29D77F72" w14:textId="77777777" w:rsidR="007568B1" w:rsidRPr="00572B01" w:rsidRDefault="007568B1" w:rsidP="007877B3">
            <w:pPr>
              <w:pStyle w:val="TableText"/>
            </w:pPr>
            <w:r w:rsidRPr="00572B01">
              <w:t>1 July 2019</w:t>
            </w:r>
          </w:p>
        </w:tc>
      </w:tr>
      <w:tr w:rsidR="007568B1" w14:paraId="521E2079" w14:textId="77777777" w:rsidTr="007877B3">
        <w:trPr>
          <w:cantSplit/>
        </w:trPr>
        <w:tc>
          <w:tcPr>
            <w:tcW w:w="4815" w:type="dxa"/>
          </w:tcPr>
          <w:p w14:paraId="199A0278" w14:textId="77777777" w:rsidR="007568B1" w:rsidRPr="00B16B54" w:rsidRDefault="007568B1" w:rsidP="007877B3">
            <w:pPr>
              <w:pStyle w:val="TableText"/>
            </w:pPr>
            <w:r w:rsidRPr="00B16B54">
              <w:t>End date</w:t>
            </w:r>
            <w:r>
              <w:t xml:space="preserve"> of grant activity </w:t>
            </w:r>
          </w:p>
        </w:tc>
        <w:tc>
          <w:tcPr>
            <w:tcW w:w="3974" w:type="dxa"/>
          </w:tcPr>
          <w:p w14:paraId="445D80AC" w14:textId="77777777" w:rsidR="007568B1" w:rsidRPr="00B16B54" w:rsidRDefault="007568B1" w:rsidP="007877B3">
            <w:pPr>
              <w:pStyle w:val="TableText"/>
            </w:pPr>
            <w:r>
              <w:t>30 June 2022</w:t>
            </w:r>
          </w:p>
        </w:tc>
      </w:tr>
    </w:tbl>
    <w:p w14:paraId="68D0A190" w14:textId="77777777" w:rsidR="007568B1" w:rsidRDefault="007568B1" w:rsidP="007568B1">
      <w:pPr>
        <w:pStyle w:val="Heading3"/>
      </w:pPr>
      <w:bookmarkStart w:id="92" w:name="_Toc3559239"/>
      <w:r w:rsidRPr="00181A24">
        <w:t>Questions during the application process</w:t>
      </w:r>
      <w:bookmarkEnd w:id="92"/>
    </w:p>
    <w:p w14:paraId="26D308D3" w14:textId="77777777" w:rsidR="007568B1" w:rsidRPr="00FE1F2D" w:rsidRDefault="007568B1" w:rsidP="007568B1">
      <w:pPr>
        <w:spacing w:before="120"/>
        <w:rPr>
          <w:rFonts w:cs="Arial"/>
        </w:rPr>
      </w:pPr>
      <w:r w:rsidRPr="00FE1F2D">
        <w:rPr>
          <w:rFonts w:cs="Arial"/>
        </w:rPr>
        <w:t xml:space="preserve">Only invited applicants’ questions will be answered during the application submission period, please contact the Community </w:t>
      </w:r>
      <w:r>
        <w:rPr>
          <w:rFonts w:cs="Arial"/>
        </w:rPr>
        <w:t>Grant</w:t>
      </w:r>
      <w:r w:rsidRPr="00FE1F2D">
        <w:rPr>
          <w:rFonts w:cs="Arial"/>
        </w:rPr>
        <w:t xml:space="preserve">s Hub on 1800 020 283 or email </w:t>
      </w:r>
      <w:hyperlink r:id="rId44" w:history="1">
        <w:r w:rsidRPr="00F575CA">
          <w:rPr>
            <w:rStyle w:val="Hyperlink"/>
            <w:rFonts w:cs="Arial"/>
          </w:rPr>
          <w:t>support@community</w:t>
        </w:r>
        <w:r>
          <w:rPr>
            <w:rStyle w:val="Hyperlink"/>
            <w:rFonts w:cs="Arial"/>
          </w:rPr>
          <w:t>grant</w:t>
        </w:r>
        <w:r w:rsidRPr="00F575CA">
          <w:rPr>
            <w:rStyle w:val="Hyperlink"/>
            <w:rFonts w:cs="Arial"/>
          </w:rPr>
          <w:t>s.gov.au</w:t>
        </w:r>
      </w:hyperlink>
      <w:r w:rsidRPr="00FE1F2D">
        <w:rPr>
          <w:rFonts w:cs="Arial"/>
        </w:rPr>
        <w:t xml:space="preserve">. </w:t>
      </w:r>
    </w:p>
    <w:p w14:paraId="090655A1" w14:textId="77777777" w:rsidR="007568B1" w:rsidRPr="002C4DC5" w:rsidRDefault="007568B1" w:rsidP="007568B1">
      <w:pPr>
        <w:spacing w:before="120"/>
        <w:rPr>
          <w:rFonts w:cs="Arial"/>
        </w:rPr>
      </w:pPr>
      <w:r w:rsidRPr="00FE1F2D">
        <w:rPr>
          <w:rFonts w:cs="Arial"/>
        </w:rPr>
        <w:t xml:space="preserve">The Community </w:t>
      </w:r>
      <w:r>
        <w:rPr>
          <w:rFonts w:cs="Arial"/>
        </w:rPr>
        <w:t>Grant</w:t>
      </w:r>
      <w:r w:rsidRPr="00FE1F2D">
        <w:rPr>
          <w:rFonts w:cs="Arial"/>
        </w:rPr>
        <w:t xml:space="preserve">s Hub will respond to emailed questions within five working days. Answers to questions are posted on </w:t>
      </w:r>
      <w:hyperlink r:id="rId45" w:history="1">
        <w:r>
          <w:rPr>
            <w:rStyle w:val="Hyperlink"/>
            <w:rFonts w:cs="Arial"/>
          </w:rPr>
          <w:t>Grant</w:t>
        </w:r>
        <w:r w:rsidRPr="00FE1F2D">
          <w:rPr>
            <w:rStyle w:val="Hyperlink"/>
            <w:rFonts w:cs="Arial"/>
          </w:rPr>
          <w:t>Connect</w:t>
        </w:r>
      </w:hyperlink>
      <w:r w:rsidRPr="00FE1F2D">
        <w:rPr>
          <w:rFonts w:cs="Arial"/>
        </w:rPr>
        <w:t>.</w:t>
      </w:r>
    </w:p>
    <w:p w14:paraId="530FC632" w14:textId="77777777" w:rsidR="007568B1" w:rsidRPr="00796798" w:rsidRDefault="007568B1" w:rsidP="007568B1">
      <w:pPr>
        <w:spacing w:before="120"/>
        <w:rPr>
          <w:rFonts w:eastAsiaTheme="minorHAnsi" w:cs="Arial"/>
        </w:rPr>
      </w:pPr>
      <w:r w:rsidRPr="002C4DC5">
        <w:rPr>
          <w:rFonts w:eastAsiaTheme="minorHAnsi" w:cs="Arial"/>
        </w:rPr>
        <w:t xml:space="preserve">The question period will close at 5:00pm AEST on 12 April 2019. Following this time, only questions about using and/or submitting </w:t>
      </w:r>
      <w:r w:rsidRPr="00FE1F2D">
        <w:rPr>
          <w:rFonts w:eastAsiaTheme="minorHAnsi" w:cs="Arial"/>
        </w:rPr>
        <w:t>the appl</w:t>
      </w:r>
      <w:r>
        <w:rPr>
          <w:rFonts w:eastAsiaTheme="minorHAnsi" w:cs="Arial"/>
        </w:rPr>
        <w:t xml:space="preserve">ication form will be answered. </w:t>
      </w:r>
    </w:p>
    <w:p w14:paraId="1F335BA9" w14:textId="77777777" w:rsidR="007568B1" w:rsidRDefault="007568B1" w:rsidP="007568B1">
      <w:pPr>
        <w:pStyle w:val="Heading2"/>
      </w:pPr>
      <w:bookmarkStart w:id="93" w:name="_Toc3559240"/>
      <w:r>
        <w:t>The grant selection process</w:t>
      </w:r>
      <w:bookmarkEnd w:id="93"/>
    </w:p>
    <w:p w14:paraId="105020AA" w14:textId="77777777" w:rsidR="007568B1" w:rsidRDefault="007568B1" w:rsidP="007568B1">
      <w:pPr>
        <w:pStyle w:val="Heading3"/>
      </w:pPr>
      <w:bookmarkStart w:id="94" w:name="_Toc3559241"/>
      <w:r>
        <w:t>Assessment of grant applications</w:t>
      </w:r>
      <w:bookmarkEnd w:id="94"/>
      <w:r>
        <w:t xml:space="preserve"> </w:t>
      </w:r>
    </w:p>
    <w:p w14:paraId="6D01CB0F" w14:textId="77777777" w:rsidR="007568B1" w:rsidRPr="00FE1F2D" w:rsidRDefault="007568B1" w:rsidP="007568B1">
      <w:pPr>
        <w:spacing w:before="120"/>
        <w:rPr>
          <w:rFonts w:cs="Arial"/>
        </w:rPr>
      </w:pPr>
      <w:r w:rsidRPr="00FE1F2D">
        <w:rPr>
          <w:rFonts w:cs="Arial"/>
        </w:rPr>
        <w:t xml:space="preserve">The </w:t>
      </w:r>
      <w:r>
        <w:rPr>
          <w:rFonts w:cs="Arial"/>
        </w:rPr>
        <w:t>Assessment Centre</w:t>
      </w:r>
      <w:r w:rsidRPr="00FE1F2D">
        <w:rPr>
          <w:rFonts w:cs="Arial"/>
        </w:rPr>
        <w:t xml:space="preserve"> will review your application against the eligibility criteria. Only eligible applications will move to the next stage. Eligible applications will be considered through a closed non-competitive </w:t>
      </w:r>
      <w:r>
        <w:rPr>
          <w:rFonts w:cs="Arial"/>
        </w:rPr>
        <w:t>grant</w:t>
      </w:r>
      <w:r w:rsidRPr="00FE1F2D">
        <w:rPr>
          <w:rFonts w:cs="Arial"/>
        </w:rPr>
        <w:t xml:space="preserve"> process. This means the </w:t>
      </w:r>
      <w:r>
        <w:rPr>
          <w:rFonts w:cs="Arial"/>
        </w:rPr>
        <w:t>D</w:t>
      </w:r>
      <w:r w:rsidRPr="00FE1F2D">
        <w:rPr>
          <w:rFonts w:cs="Arial"/>
        </w:rPr>
        <w:t>epartment of Social Services</w:t>
      </w:r>
      <w:r w:rsidRPr="00FE1F2D">
        <w:rPr>
          <w:rFonts w:cs="Arial"/>
          <w:color w:val="0070C0"/>
        </w:rPr>
        <w:t xml:space="preserve"> </w:t>
      </w:r>
      <w:r>
        <w:rPr>
          <w:rFonts w:cs="Arial"/>
        </w:rPr>
        <w:t>has</w:t>
      </w:r>
      <w:r w:rsidRPr="00FE1F2D">
        <w:rPr>
          <w:rFonts w:cs="Arial"/>
        </w:rPr>
        <w:t xml:space="preserve"> identified suitable organisations and has invited them to apply.</w:t>
      </w:r>
    </w:p>
    <w:p w14:paraId="78D7EC37" w14:textId="77777777" w:rsidR="007568B1" w:rsidRDefault="007568B1" w:rsidP="007568B1">
      <w:pPr>
        <w:spacing w:before="120"/>
        <w:rPr>
          <w:rFonts w:cs="Arial"/>
        </w:rPr>
      </w:pPr>
      <w:r w:rsidRPr="00FE1F2D">
        <w:rPr>
          <w:rFonts w:cs="Arial"/>
        </w:rPr>
        <w:t>If eligible, we will then assess your application against the assessment criteria (see Section 6). We consider your application on its merits, based on how well it meets the criteria.</w:t>
      </w:r>
    </w:p>
    <w:p w14:paraId="0E8DFE3B" w14:textId="77777777" w:rsidR="007568B1" w:rsidRDefault="007568B1" w:rsidP="007568B1">
      <w:pPr>
        <w:spacing w:before="120"/>
        <w:rPr>
          <w:rFonts w:cs="Arial"/>
        </w:rPr>
      </w:pPr>
      <w:r>
        <w:rPr>
          <w:rFonts w:cs="Arial"/>
        </w:rPr>
        <w:t>The Department of Social Services has invited the following service providers</w:t>
      </w:r>
      <w:r w:rsidRPr="00194092">
        <w:rPr>
          <w:rFonts w:cs="Arial"/>
        </w:rPr>
        <w:t xml:space="preserve"> to submit a</w:t>
      </w:r>
      <w:r>
        <w:rPr>
          <w:rFonts w:cs="Arial"/>
        </w:rPr>
        <w:t>n</w:t>
      </w:r>
      <w:r w:rsidRPr="00194092">
        <w:rPr>
          <w:rFonts w:cs="Arial"/>
        </w:rPr>
        <w:t xml:space="preserve"> </w:t>
      </w:r>
      <w:r>
        <w:rPr>
          <w:rFonts w:cs="Arial"/>
        </w:rPr>
        <w:t>a</w:t>
      </w:r>
      <w:r w:rsidRPr="00194092">
        <w:rPr>
          <w:rFonts w:cs="Arial"/>
        </w:rPr>
        <w:t>pplication</w:t>
      </w:r>
      <w:r>
        <w:rPr>
          <w:rFonts w:cs="Arial"/>
        </w:rPr>
        <w:t>:</w:t>
      </w:r>
    </w:p>
    <w:p w14:paraId="785EE7D6" w14:textId="77777777" w:rsidR="007568B1" w:rsidRDefault="007568B1" w:rsidP="0087683E">
      <w:pPr>
        <w:pStyle w:val="ListBullet"/>
        <w:spacing w:before="120" w:after="120"/>
        <w:rPr>
          <w:rFonts w:cs="Arial"/>
        </w:rPr>
      </w:pPr>
      <w:r w:rsidRPr="00194092">
        <w:rPr>
          <w:rFonts w:cs="Arial"/>
        </w:rPr>
        <w:t>Pilb</w:t>
      </w:r>
      <w:r>
        <w:rPr>
          <w:rFonts w:cs="Arial"/>
        </w:rPr>
        <w:t>ara Community Legal Service Incorporated</w:t>
      </w:r>
    </w:p>
    <w:p w14:paraId="6BF0E4BE" w14:textId="77777777" w:rsidR="007568B1" w:rsidRPr="003B0B9F" w:rsidRDefault="007568B1" w:rsidP="0087683E">
      <w:pPr>
        <w:pStyle w:val="ListBullet"/>
        <w:spacing w:before="120" w:after="120"/>
        <w:rPr>
          <w:rFonts w:cs="Arial"/>
        </w:rPr>
      </w:pPr>
      <w:r w:rsidRPr="003B0B9F">
        <w:rPr>
          <w:rFonts w:cs="Arial"/>
        </w:rPr>
        <w:t xml:space="preserve">Iranian Community Organisation </w:t>
      </w:r>
      <w:r>
        <w:rPr>
          <w:rFonts w:cs="Arial"/>
        </w:rPr>
        <w:t>Incorporated</w:t>
      </w:r>
    </w:p>
    <w:p w14:paraId="13842B5C" w14:textId="77777777" w:rsidR="007568B1" w:rsidRPr="00FB69AE" w:rsidRDefault="007568B1" w:rsidP="007568B1">
      <w:pPr>
        <w:pStyle w:val="Heading3"/>
      </w:pPr>
      <w:bookmarkStart w:id="95" w:name="_Toc3559242"/>
      <w:r w:rsidRPr="00FB69AE">
        <w:lastRenderedPageBreak/>
        <w:t>Who will assess applications?</w:t>
      </w:r>
      <w:bookmarkEnd w:id="95"/>
    </w:p>
    <w:p w14:paraId="50803646" w14:textId="77777777" w:rsidR="007568B1" w:rsidRDefault="007568B1" w:rsidP="007568B1">
      <w:pPr>
        <w:spacing w:before="120"/>
      </w:pPr>
      <w:r>
        <w:t>The</w:t>
      </w:r>
      <w:r w:rsidRPr="00103A95">
        <w:t xml:space="preserve"> </w:t>
      </w:r>
      <w:r>
        <w:t>Assessment Centre</w:t>
      </w:r>
      <w:r w:rsidRPr="00103A95">
        <w:t xml:space="preserve"> will assess each </w:t>
      </w:r>
      <w:r>
        <w:t xml:space="preserve">eligible and compliant </w:t>
      </w:r>
      <w:r w:rsidRPr="00103A95">
        <w:t xml:space="preserve">application on its </w:t>
      </w:r>
      <w:r>
        <w:t xml:space="preserve">individual </w:t>
      </w:r>
      <w:r w:rsidRPr="00FB69AE">
        <w:t>merit</w:t>
      </w:r>
      <w:r>
        <w:t xml:space="preserve">. </w:t>
      </w:r>
      <w:r w:rsidRPr="00103A95">
        <w:t xml:space="preserve">The </w:t>
      </w:r>
      <w:r>
        <w:t>Assessment Centre</w:t>
      </w:r>
      <w:r w:rsidRPr="00103A95">
        <w:t xml:space="preserve"> </w:t>
      </w:r>
      <w:r>
        <w:t>uses fully trained Community Grants Hub staff for consistent assessment of all applications.</w:t>
      </w:r>
    </w:p>
    <w:p w14:paraId="61AEEAB4" w14:textId="77777777" w:rsidR="007568B1" w:rsidRDefault="007568B1" w:rsidP="007568B1">
      <w:pPr>
        <w:spacing w:before="120"/>
      </w:pPr>
      <w:r>
        <w:t>The Department of Social Services uses this information to help them develop recommendations on applications to be awarded a grant.</w:t>
      </w:r>
    </w:p>
    <w:p w14:paraId="0E6EDBFA" w14:textId="77777777" w:rsidR="007568B1" w:rsidRPr="00A632E3" w:rsidRDefault="007568B1" w:rsidP="007568B1">
      <w:pPr>
        <w:spacing w:before="120"/>
      </w:pPr>
      <w:r>
        <w:t>The Department of Social Services will consider y</w:t>
      </w:r>
      <w:r w:rsidRPr="00A632E3">
        <w:t>our application on its merits, based on:</w:t>
      </w:r>
    </w:p>
    <w:p w14:paraId="4DF9BE77" w14:textId="77777777" w:rsidR="007568B1" w:rsidRPr="00A632E3" w:rsidRDefault="007568B1" w:rsidP="007568B1">
      <w:pPr>
        <w:pStyle w:val="ListBullet"/>
        <w:spacing w:before="120" w:after="120"/>
      </w:pPr>
      <w:r>
        <w:t>The Assessment Centre’s assessment of your application</w:t>
      </w:r>
    </w:p>
    <w:p w14:paraId="010CC15D" w14:textId="77777777" w:rsidR="007568B1" w:rsidRPr="00DE67EF" w:rsidRDefault="007568B1" w:rsidP="007568B1">
      <w:pPr>
        <w:pStyle w:val="ListBullet"/>
        <w:spacing w:before="120" w:after="120"/>
      </w:pPr>
      <w:r w:rsidRPr="00DE67EF">
        <w:t>whether it provides value with relevant money.</w:t>
      </w:r>
      <w:r w:rsidRPr="00DE67EF">
        <w:rPr>
          <w:rStyle w:val="FootnoteReference"/>
        </w:rPr>
        <w:footnoteReference w:id="7"/>
      </w:r>
    </w:p>
    <w:p w14:paraId="6162B000" w14:textId="28FAB97A" w:rsidR="007568B1" w:rsidRPr="00DE67EF" w:rsidRDefault="007568B1" w:rsidP="007568B1">
      <w:pPr>
        <w:pStyle w:val="ListBullet"/>
        <w:numPr>
          <w:ilvl w:val="0"/>
          <w:numId w:val="0"/>
        </w:numPr>
        <w:spacing w:before="120" w:after="120"/>
        <w:rPr>
          <w:rFonts w:cs="Arial"/>
        </w:rPr>
      </w:pPr>
      <w:r w:rsidRPr="00DE67EF">
        <w:rPr>
          <w:rFonts w:cs="Arial"/>
        </w:rPr>
        <w:t xml:space="preserve">When assessing </w:t>
      </w:r>
      <w:r>
        <w:rPr>
          <w:rFonts w:cs="Arial"/>
        </w:rPr>
        <w:t>t</w:t>
      </w:r>
      <w:r w:rsidRPr="00DE67EF">
        <w:rPr>
          <w:rFonts w:cs="Arial"/>
        </w:rPr>
        <w:t xml:space="preserve">he extent to which the application represents value with relevant money, </w:t>
      </w:r>
      <w:r>
        <w:t xml:space="preserve">the Department of Social Services </w:t>
      </w:r>
      <w:r w:rsidRPr="00DE67EF">
        <w:rPr>
          <w:rFonts w:cs="Arial"/>
        </w:rPr>
        <w:t xml:space="preserve">will </w:t>
      </w:r>
      <w:r>
        <w:rPr>
          <w:rFonts w:cs="Arial"/>
        </w:rPr>
        <w:t xml:space="preserve">have </w:t>
      </w:r>
      <w:r w:rsidRPr="00DE67EF">
        <w:rPr>
          <w:rFonts w:cs="Arial"/>
        </w:rPr>
        <w:t>regard to:</w:t>
      </w:r>
      <w:r w:rsidRPr="00DE67EF">
        <w:rPr>
          <w:rFonts w:cs="Arial"/>
          <w:color w:val="0070C0"/>
        </w:rPr>
        <w:t xml:space="preserve"> </w:t>
      </w:r>
    </w:p>
    <w:p w14:paraId="2206D814" w14:textId="77777777" w:rsidR="007568B1" w:rsidRPr="00DE67EF" w:rsidRDefault="007568B1" w:rsidP="007568B1">
      <w:pPr>
        <w:pStyle w:val="ListBullet"/>
        <w:spacing w:before="120" w:after="120"/>
      </w:pPr>
      <w:r w:rsidRPr="00DE67EF">
        <w:t xml:space="preserve">the overall objective/s to be achieved in providing the </w:t>
      </w:r>
      <w:r>
        <w:t>grant</w:t>
      </w:r>
    </w:p>
    <w:p w14:paraId="7B9C41AB" w14:textId="77777777" w:rsidR="007568B1" w:rsidRPr="00DE67EF" w:rsidRDefault="007568B1" w:rsidP="007568B1">
      <w:pPr>
        <w:pStyle w:val="ListBullet"/>
        <w:spacing w:before="120" w:after="120"/>
      </w:pPr>
      <w:r w:rsidRPr="00DE67EF">
        <w:t>extent to which the geographic location of the application matches identified priorities</w:t>
      </w:r>
    </w:p>
    <w:p w14:paraId="3490251F" w14:textId="77777777" w:rsidR="007568B1" w:rsidRDefault="007568B1" w:rsidP="007568B1">
      <w:pPr>
        <w:pStyle w:val="ListBullet"/>
        <w:spacing w:before="120" w:after="120"/>
      </w:pPr>
      <w:r w:rsidRPr="00DE67EF">
        <w:t>the extent to which the evidence in the application demonstrates that it will contribute to meeting the outcomes/objectives</w:t>
      </w:r>
    </w:p>
    <w:p w14:paraId="18ECF499" w14:textId="77777777" w:rsidR="007568B1" w:rsidRDefault="007568B1" w:rsidP="007568B1">
      <w:pPr>
        <w:pStyle w:val="ListBullet"/>
        <w:spacing w:before="120" w:after="120"/>
      </w:pPr>
      <w:r>
        <w:t>h</w:t>
      </w:r>
      <w:r w:rsidRPr="00DE67EF">
        <w:t xml:space="preserve">ow the </w:t>
      </w:r>
      <w:r>
        <w:t>grant</w:t>
      </w:r>
      <w:r w:rsidRPr="00DE67EF">
        <w:t xml:space="preserve"> activities will target groups or individuals.</w:t>
      </w:r>
    </w:p>
    <w:p w14:paraId="55705F5B" w14:textId="77777777" w:rsidR="007568B1" w:rsidRDefault="007568B1" w:rsidP="007568B1">
      <w:pPr>
        <w:pStyle w:val="Heading3"/>
      </w:pPr>
      <w:bookmarkStart w:id="96" w:name="_Toc531860459"/>
      <w:bookmarkStart w:id="97" w:name="_Toc531860460"/>
      <w:bookmarkStart w:id="98" w:name="_Toc531860461"/>
      <w:bookmarkStart w:id="99" w:name="_Toc531860462"/>
      <w:bookmarkStart w:id="100" w:name="_Toc531860463"/>
      <w:bookmarkStart w:id="101" w:name="_Toc531860464"/>
      <w:bookmarkStart w:id="102" w:name="_Toc531860465"/>
      <w:bookmarkStart w:id="103" w:name="_Toc531860466"/>
      <w:bookmarkStart w:id="104" w:name="_Toc531860467"/>
      <w:bookmarkStart w:id="105" w:name="_Toc531860468"/>
      <w:bookmarkStart w:id="106" w:name="_Toc531860469"/>
      <w:bookmarkStart w:id="107" w:name="_Toc3559243"/>
      <w:bookmarkEnd w:id="96"/>
      <w:bookmarkEnd w:id="97"/>
      <w:bookmarkEnd w:id="98"/>
      <w:bookmarkEnd w:id="99"/>
      <w:bookmarkEnd w:id="100"/>
      <w:bookmarkEnd w:id="101"/>
      <w:bookmarkEnd w:id="102"/>
      <w:bookmarkEnd w:id="103"/>
      <w:bookmarkEnd w:id="104"/>
      <w:bookmarkEnd w:id="105"/>
      <w:bookmarkEnd w:id="106"/>
      <w:r>
        <w:t>Who will approve grants?</w:t>
      </w:r>
      <w:bookmarkEnd w:id="107"/>
    </w:p>
    <w:p w14:paraId="530714BA" w14:textId="3D095BE3" w:rsidR="007568B1" w:rsidRPr="00FE1F2D" w:rsidRDefault="007568B1" w:rsidP="007568B1">
      <w:pPr>
        <w:spacing w:before="120"/>
        <w:rPr>
          <w:rFonts w:cs="Arial"/>
        </w:rPr>
      </w:pPr>
      <w:r w:rsidRPr="00FE1F2D">
        <w:rPr>
          <w:rFonts w:cs="Arial"/>
        </w:rPr>
        <w:t xml:space="preserve">The </w:t>
      </w:r>
      <w:r w:rsidR="00C03308">
        <w:rPr>
          <w:rFonts w:cs="Arial"/>
        </w:rPr>
        <w:t xml:space="preserve">Minister for Families and Social Services or the </w:t>
      </w:r>
      <w:r w:rsidR="00704809">
        <w:rPr>
          <w:rFonts w:cs="Arial"/>
        </w:rPr>
        <w:t xml:space="preserve">Minister’s delegate </w:t>
      </w:r>
      <w:bookmarkStart w:id="108" w:name="_GoBack"/>
      <w:bookmarkEnd w:id="108"/>
      <w:r w:rsidRPr="00FE1F2D">
        <w:rPr>
          <w:rFonts w:cs="Arial"/>
          <w:iCs/>
        </w:rPr>
        <w:t>(the decision maker)</w:t>
      </w:r>
      <w:r w:rsidR="00C03308">
        <w:rPr>
          <w:rFonts w:cs="Arial"/>
          <w:iCs/>
        </w:rPr>
        <w:t xml:space="preserve"> will</w:t>
      </w:r>
      <w:r w:rsidRPr="00FE1F2D">
        <w:rPr>
          <w:rFonts w:cs="Arial"/>
          <w:iCs/>
          <w:color w:val="0070C0"/>
        </w:rPr>
        <w:t xml:space="preserve"> </w:t>
      </w:r>
      <w:r w:rsidR="00C03308">
        <w:rPr>
          <w:rFonts w:cs="Arial"/>
        </w:rPr>
        <w:t>decide</w:t>
      </w:r>
      <w:r w:rsidRPr="00FE1F2D">
        <w:rPr>
          <w:rFonts w:cs="Arial"/>
        </w:rPr>
        <w:t xml:space="preserve"> which </w:t>
      </w:r>
      <w:r>
        <w:rPr>
          <w:rFonts w:cs="Arial"/>
        </w:rPr>
        <w:t>grant</w:t>
      </w:r>
      <w:r w:rsidRPr="00FE1F2D">
        <w:rPr>
          <w:rFonts w:cs="Arial"/>
        </w:rPr>
        <w:t xml:space="preserve">s to approve based on the recommendations of the selection advisory panel and the availability of </w:t>
      </w:r>
      <w:r>
        <w:rPr>
          <w:rFonts w:cs="Arial"/>
        </w:rPr>
        <w:t>grant</w:t>
      </w:r>
      <w:r w:rsidRPr="00FE1F2D">
        <w:rPr>
          <w:rFonts w:cs="Arial"/>
        </w:rPr>
        <w:t xml:space="preserve"> funds for the purposes of the </w:t>
      </w:r>
      <w:r>
        <w:rPr>
          <w:rFonts w:cs="Arial"/>
        </w:rPr>
        <w:t>grant</w:t>
      </w:r>
      <w:r w:rsidRPr="00FE1F2D">
        <w:rPr>
          <w:rFonts w:cs="Arial"/>
        </w:rPr>
        <w:t xml:space="preserve"> program.</w:t>
      </w:r>
    </w:p>
    <w:p w14:paraId="51B30846" w14:textId="594A71F7" w:rsidR="007568B1" w:rsidRPr="00AD40CA" w:rsidRDefault="007568B1" w:rsidP="007568B1">
      <w:pPr>
        <w:spacing w:before="120"/>
        <w:rPr>
          <w:rFonts w:cs="Arial"/>
        </w:rPr>
      </w:pPr>
      <w:r w:rsidRPr="00AD40CA">
        <w:rPr>
          <w:rFonts w:cs="Arial"/>
        </w:rPr>
        <w:t>The</w:t>
      </w:r>
      <w:r w:rsidRPr="00AD40CA">
        <w:rPr>
          <w:rFonts w:cs="Arial"/>
          <w:iCs/>
        </w:rPr>
        <w:t xml:space="preserve"> decision maker’s </w:t>
      </w:r>
      <w:r w:rsidRPr="00AD40CA">
        <w:rPr>
          <w:rFonts w:cs="Arial"/>
        </w:rPr>
        <w:t>decision is final, including</w:t>
      </w:r>
      <w:r w:rsidR="007877B3">
        <w:rPr>
          <w:rFonts w:cs="Arial"/>
        </w:rPr>
        <w:t xml:space="preserve"> the</w:t>
      </w:r>
      <w:r w:rsidRPr="00AD40CA">
        <w:rPr>
          <w:rFonts w:cs="Arial"/>
        </w:rPr>
        <w:t>:</w:t>
      </w:r>
    </w:p>
    <w:p w14:paraId="5C514410" w14:textId="59B604FF" w:rsidR="007568B1" w:rsidRPr="00FE1F2D" w:rsidRDefault="007568B1" w:rsidP="007568B1">
      <w:pPr>
        <w:pStyle w:val="ListBullet"/>
        <w:spacing w:before="120" w:after="120"/>
        <w:rPr>
          <w:rFonts w:cs="Arial"/>
        </w:rPr>
      </w:pPr>
      <w:r w:rsidRPr="00FE1F2D">
        <w:rPr>
          <w:rFonts w:cs="Arial"/>
        </w:rPr>
        <w:t xml:space="preserve">approval of the </w:t>
      </w:r>
      <w:r>
        <w:rPr>
          <w:rFonts w:cs="Arial"/>
        </w:rPr>
        <w:t>grant</w:t>
      </w:r>
    </w:p>
    <w:p w14:paraId="34AD0376" w14:textId="29D1C652" w:rsidR="007568B1" w:rsidRPr="00FE1F2D" w:rsidRDefault="007568B1" w:rsidP="007568B1">
      <w:pPr>
        <w:pStyle w:val="ListBullet"/>
        <w:spacing w:before="120" w:after="120"/>
        <w:rPr>
          <w:rFonts w:cs="Arial"/>
        </w:rPr>
      </w:pPr>
      <w:r>
        <w:rPr>
          <w:rFonts w:cs="Arial"/>
        </w:rPr>
        <w:t>grant</w:t>
      </w:r>
      <w:r w:rsidRPr="00FE1F2D">
        <w:rPr>
          <w:rFonts w:cs="Arial"/>
        </w:rPr>
        <w:t xml:space="preserve"> funding amount to be awarded</w:t>
      </w:r>
    </w:p>
    <w:p w14:paraId="6C6AA40D" w14:textId="77777777" w:rsidR="007568B1" w:rsidRPr="00796798" w:rsidRDefault="007568B1" w:rsidP="007568B1">
      <w:pPr>
        <w:pStyle w:val="ListBullet"/>
        <w:numPr>
          <w:ilvl w:val="0"/>
          <w:numId w:val="0"/>
        </w:numPr>
        <w:spacing w:before="120" w:after="120"/>
        <w:rPr>
          <w:rFonts w:cs="Arial"/>
        </w:rPr>
      </w:pPr>
      <w:r w:rsidRPr="00FE1F2D">
        <w:rPr>
          <w:rFonts w:cs="Arial"/>
        </w:rPr>
        <w:t xml:space="preserve">There is no appeal mechanism for decisions to approve or not approve a </w:t>
      </w:r>
      <w:r>
        <w:rPr>
          <w:rFonts w:cs="Arial"/>
        </w:rPr>
        <w:t>grant</w:t>
      </w:r>
      <w:r w:rsidRPr="00FE1F2D">
        <w:rPr>
          <w:rFonts w:cs="Arial"/>
        </w:rPr>
        <w:t>.</w:t>
      </w:r>
    </w:p>
    <w:p w14:paraId="52246CED" w14:textId="77777777" w:rsidR="007568B1" w:rsidRDefault="007568B1" w:rsidP="007568B1">
      <w:pPr>
        <w:pStyle w:val="Heading2"/>
      </w:pPr>
      <w:bookmarkStart w:id="109" w:name="_Toc3559244"/>
      <w:r>
        <w:t>Notification of application outcomes</w:t>
      </w:r>
      <w:bookmarkEnd w:id="109"/>
    </w:p>
    <w:p w14:paraId="5A7390A5" w14:textId="77777777" w:rsidR="007568B1" w:rsidRPr="00FE1F2D" w:rsidRDefault="007568B1" w:rsidP="007568B1">
      <w:pPr>
        <w:spacing w:before="120"/>
        <w:rPr>
          <w:rFonts w:cs="Arial"/>
        </w:rPr>
      </w:pPr>
      <w:r w:rsidRPr="00FE1F2D">
        <w:rPr>
          <w:rFonts w:cs="Arial"/>
        </w:rPr>
        <w:t xml:space="preserve">We will write to you about the outcome of your application. If you are successful, you are advised of any specific conditions attached to the </w:t>
      </w:r>
      <w:r>
        <w:rPr>
          <w:rFonts w:cs="Arial"/>
        </w:rPr>
        <w:t>grant</w:t>
      </w:r>
      <w:r w:rsidRPr="00FE1F2D">
        <w:rPr>
          <w:rFonts w:cs="Arial"/>
        </w:rPr>
        <w:t xml:space="preserve">. </w:t>
      </w:r>
    </w:p>
    <w:p w14:paraId="1E80EDE6" w14:textId="77777777" w:rsidR="007568B1" w:rsidRDefault="007568B1" w:rsidP="007568B1">
      <w:pPr>
        <w:pStyle w:val="Heading3"/>
      </w:pPr>
      <w:bookmarkStart w:id="110" w:name="_Toc3559245"/>
      <w:r w:rsidRPr="00FB0C71">
        <w:t>Feedback on your application</w:t>
      </w:r>
      <w:bookmarkEnd w:id="110"/>
    </w:p>
    <w:p w14:paraId="53334FDE" w14:textId="77777777" w:rsidR="007568B1" w:rsidRPr="00796798" w:rsidRDefault="007568B1" w:rsidP="007568B1">
      <w:pPr>
        <w:spacing w:before="120"/>
        <w:rPr>
          <w:rFonts w:cs="Arial"/>
        </w:rPr>
      </w:pPr>
      <w:r w:rsidRPr="00FE1F2D">
        <w:rPr>
          <w:rFonts w:cs="Arial"/>
        </w:rPr>
        <w:t xml:space="preserve">Individual feedback will not be provided for this </w:t>
      </w:r>
      <w:r>
        <w:rPr>
          <w:rFonts w:cs="Arial"/>
        </w:rPr>
        <w:t>grant opportunity.</w:t>
      </w:r>
    </w:p>
    <w:p w14:paraId="728BE424" w14:textId="77777777" w:rsidR="007568B1" w:rsidRDefault="007568B1" w:rsidP="007568B1">
      <w:pPr>
        <w:pStyle w:val="Heading2"/>
      </w:pPr>
      <w:bookmarkStart w:id="111" w:name="_Toc525295546"/>
      <w:bookmarkStart w:id="112" w:name="_Toc525552144"/>
      <w:bookmarkStart w:id="113" w:name="_Toc525722844"/>
      <w:bookmarkStart w:id="114" w:name="_Toc3559246"/>
      <w:bookmarkEnd w:id="111"/>
      <w:bookmarkEnd w:id="112"/>
      <w:bookmarkEnd w:id="113"/>
      <w:r>
        <w:t>Successful grant applications</w:t>
      </w:r>
      <w:bookmarkEnd w:id="114"/>
    </w:p>
    <w:p w14:paraId="7BBC39E0" w14:textId="77777777" w:rsidR="007568B1" w:rsidRPr="00FB0C71" w:rsidRDefault="007568B1" w:rsidP="007568B1">
      <w:pPr>
        <w:pStyle w:val="Heading3"/>
      </w:pPr>
      <w:bookmarkStart w:id="115" w:name="_Toc3559247"/>
      <w:r>
        <w:t>The grant agreement</w:t>
      </w:r>
      <w:bookmarkEnd w:id="115"/>
    </w:p>
    <w:p w14:paraId="7F054FDD" w14:textId="77777777" w:rsidR="007568B1" w:rsidRPr="00FE1F2D" w:rsidRDefault="007568B1" w:rsidP="007568B1">
      <w:pPr>
        <w:spacing w:before="120"/>
        <w:rPr>
          <w:rFonts w:cs="Arial"/>
        </w:rPr>
      </w:pPr>
      <w:bookmarkStart w:id="116" w:name="_Toc466898121"/>
      <w:bookmarkEnd w:id="82"/>
      <w:bookmarkEnd w:id="83"/>
      <w:r w:rsidRPr="00FE1F2D">
        <w:rPr>
          <w:rFonts w:cs="Arial"/>
        </w:rPr>
        <w:t xml:space="preserve">You must enter into a legally binding </w:t>
      </w:r>
      <w:r>
        <w:rPr>
          <w:rFonts w:cs="Arial"/>
        </w:rPr>
        <w:t>grant agreement</w:t>
      </w:r>
      <w:r w:rsidRPr="00FE1F2D">
        <w:rPr>
          <w:rFonts w:cs="Arial"/>
        </w:rPr>
        <w:t xml:space="preserve"> with the Commonwealth. We will offer successful applicants a Commonwealth Simple </w:t>
      </w:r>
      <w:r>
        <w:rPr>
          <w:rFonts w:cs="Arial"/>
        </w:rPr>
        <w:t>Grant Agreement</w:t>
      </w:r>
      <w:r w:rsidRPr="00FE1F2D">
        <w:rPr>
          <w:rFonts w:cs="Arial"/>
        </w:rPr>
        <w:t xml:space="preserve"> for this </w:t>
      </w:r>
      <w:r>
        <w:rPr>
          <w:rFonts w:cs="Arial"/>
        </w:rPr>
        <w:t>grant</w:t>
      </w:r>
      <w:r w:rsidRPr="00FE1F2D">
        <w:rPr>
          <w:rFonts w:cs="Arial"/>
        </w:rPr>
        <w:t xml:space="preserve"> opportunity.</w:t>
      </w:r>
    </w:p>
    <w:p w14:paraId="09D5DD7B" w14:textId="77777777" w:rsidR="007568B1" w:rsidRPr="00FE1F2D" w:rsidRDefault="007568B1" w:rsidP="007568B1">
      <w:pPr>
        <w:spacing w:before="120"/>
        <w:rPr>
          <w:rFonts w:cs="Arial"/>
        </w:rPr>
      </w:pPr>
      <w:r w:rsidRPr="00FE1F2D">
        <w:rPr>
          <w:rFonts w:cs="Arial"/>
        </w:rPr>
        <w:lastRenderedPageBreak/>
        <w:t xml:space="preserve">Each </w:t>
      </w:r>
      <w:r>
        <w:rPr>
          <w:rFonts w:cs="Arial"/>
        </w:rPr>
        <w:t>agreement</w:t>
      </w:r>
      <w:r w:rsidRPr="00FE1F2D">
        <w:rPr>
          <w:rFonts w:cs="Arial"/>
        </w:rPr>
        <w:t xml:space="preserve"> has general/standard </w:t>
      </w:r>
      <w:r>
        <w:rPr>
          <w:rFonts w:cs="Arial"/>
        </w:rPr>
        <w:t>grant</w:t>
      </w:r>
      <w:r w:rsidRPr="00FE1F2D">
        <w:rPr>
          <w:rFonts w:cs="Arial"/>
        </w:rPr>
        <w:t xml:space="preserve"> </w:t>
      </w:r>
      <w:r>
        <w:rPr>
          <w:rFonts w:cs="Arial"/>
        </w:rPr>
        <w:t>c</w:t>
      </w:r>
      <w:r w:rsidRPr="00FE1F2D">
        <w:rPr>
          <w:rFonts w:cs="Arial"/>
        </w:rPr>
        <w:t xml:space="preserve">onditions that cannot be changed. </w:t>
      </w:r>
      <w:r w:rsidRPr="007B4969">
        <w:t xml:space="preserve">We will use a schedule to outline the specific </w:t>
      </w:r>
      <w:r>
        <w:t>grant</w:t>
      </w:r>
      <w:r w:rsidRPr="007B4969">
        <w:t xml:space="preserve"> requirements.</w:t>
      </w:r>
      <w:r>
        <w:t xml:space="preserve"> An Activity Work Plan is required for this Activity and details will be included in the grant agreement.</w:t>
      </w:r>
    </w:p>
    <w:p w14:paraId="6C9E6576" w14:textId="77777777" w:rsidR="007568B1" w:rsidRPr="00FE1F2D" w:rsidRDefault="007568B1" w:rsidP="007568B1">
      <w:pPr>
        <w:spacing w:before="120"/>
        <w:rPr>
          <w:rFonts w:cs="Arial"/>
        </w:rPr>
      </w:pPr>
      <w:r w:rsidRPr="00FE1F2D">
        <w:rPr>
          <w:rFonts w:cs="Arial"/>
        </w:rPr>
        <w:t>We</w:t>
      </w:r>
      <w:r w:rsidRPr="00FE1F2D">
        <w:rPr>
          <w:rFonts w:cs="Arial"/>
          <w:color w:val="0070C0"/>
        </w:rPr>
        <w:t xml:space="preserve"> </w:t>
      </w:r>
      <w:r w:rsidRPr="00FE1F2D">
        <w:rPr>
          <w:rFonts w:cs="Arial"/>
        </w:rPr>
        <w:t xml:space="preserve">must execute a </w:t>
      </w:r>
      <w:r>
        <w:rPr>
          <w:rFonts w:cs="Arial"/>
        </w:rPr>
        <w:t>grant agreement</w:t>
      </w:r>
      <w:r w:rsidRPr="00FE1F2D">
        <w:rPr>
          <w:rFonts w:cs="Arial"/>
        </w:rPr>
        <w:t xml:space="preserve"> with you before we can make any payments. We are not responsible for any of your expenditure until a </w:t>
      </w:r>
      <w:r>
        <w:rPr>
          <w:rFonts w:cs="Arial"/>
        </w:rPr>
        <w:t>grant agreement</w:t>
      </w:r>
      <w:r w:rsidRPr="00FE1F2D">
        <w:rPr>
          <w:rFonts w:cs="Arial"/>
        </w:rPr>
        <w:t xml:space="preserve"> is executed. You must not start any SETS activities until a </w:t>
      </w:r>
      <w:r>
        <w:rPr>
          <w:rFonts w:cs="Arial"/>
        </w:rPr>
        <w:t>grant agreement</w:t>
      </w:r>
      <w:r w:rsidRPr="00FE1F2D">
        <w:rPr>
          <w:rFonts w:cs="Arial"/>
        </w:rPr>
        <w:t xml:space="preserve"> is executed.</w:t>
      </w:r>
    </w:p>
    <w:p w14:paraId="13A75F66" w14:textId="77777777" w:rsidR="007568B1" w:rsidRDefault="007568B1" w:rsidP="007568B1">
      <w:pPr>
        <w:spacing w:before="120"/>
        <w:rPr>
          <w:rFonts w:cs="Arial"/>
        </w:rPr>
      </w:pPr>
      <w:r>
        <w:t xml:space="preserve">Your grant agreement may have specific conditions determined by the assessment </w:t>
      </w:r>
      <w:r w:rsidRPr="00FE1F2D">
        <w:rPr>
          <w:rFonts w:cs="Arial"/>
        </w:rPr>
        <w:t xml:space="preserve">process or other considerations made by </w:t>
      </w:r>
      <w:r w:rsidRPr="00385C21">
        <w:rPr>
          <w:rFonts w:cs="Arial"/>
        </w:rPr>
        <w:t xml:space="preserve">the decision maker. </w:t>
      </w:r>
      <w:r w:rsidRPr="00FE1F2D">
        <w:rPr>
          <w:rFonts w:cs="Arial"/>
        </w:rPr>
        <w:t xml:space="preserve">These are identified in the </w:t>
      </w:r>
      <w:r>
        <w:rPr>
          <w:rFonts w:cs="Arial"/>
        </w:rPr>
        <w:t>agreement</w:t>
      </w:r>
      <w:r w:rsidRPr="00FE1F2D">
        <w:rPr>
          <w:rFonts w:cs="Arial"/>
        </w:rPr>
        <w:t xml:space="preserve">. </w:t>
      </w:r>
    </w:p>
    <w:p w14:paraId="17038587" w14:textId="77777777" w:rsidR="007568B1" w:rsidRPr="00385C21" w:rsidRDefault="007568B1" w:rsidP="007568B1">
      <w:r w:rsidRPr="00385C21">
        <w:t xml:space="preserve"> </w:t>
      </w:r>
      <w:r>
        <w:t>The Commonwealth may recover grant funds if there is a breach of the grant agreement.</w:t>
      </w:r>
    </w:p>
    <w:p w14:paraId="7D264BBB" w14:textId="77777777" w:rsidR="007568B1" w:rsidRPr="00FE1F2D" w:rsidRDefault="007568B1" w:rsidP="007568B1">
      <w:pPr>
        <w:spacing w:before="120"/>
        <w:rPr>
          <w:rFonts w:cs="Arial"/>
          <w:b/>
        </w:rPr>
      </w:pPr>
      <w:bookmarkStart w:id="117" w:name="_Toc468693652"/>
      <w:r w:rsidRPr="00FE1F2D">
        <w:rPr>
          <w:rFonts w:cs="Arial"/>
          <w:b/>
        </w:rPr>
        <w:t>Commonwealth Simple</w:t>
      </w:r>
      <w:r w:rsidRPr="00FE1F2D">
        <w:rPr>
          <w:rFonts w:cs="Arial"/>
          <w:b/>
          <w:color w:val="548DD4" w:themeColor="text2" w:themeTint="99"/>
        </w:rPr>
        <w:t xml:space="preserve"> </w:t>
      </w:r>
      <w:r>
        <w:rPr>
          <w:rFonts w:cs="Arial"/>
          <w:b/>
        </w:rPr>
        <w:t>Grant Agreement</w:t>
      </w:r>
      <w:bookmarkEnd w:id="117"/>
      <w:r w:rsidRPr="00FE1F2D">
        <w:rPr>
          <w:rFonts w:cs="Arial"/>
          <w:b/>
        </w:rPr>
        <w:t xml:space="preserve"> </w:t>
      </w:r>
    </w:p>
    <w:p w14:paraId="41342DE9" w14:textId="77777777" w:rsidR="007568B1" w:rsidRPr="00385C21" w:rsidRDefault="007568B1" w:rsidP="007568B1">
      <w:pPr>
        <w:spacing w:before="120"/>
        <w:rPr>
          <w:rFonts w:cs="Arial"/>
        </w:rPr>
      </w:pPr>
      <w:r w:rsidRPr="00385C21">
        <w:rPr>
          <w:rFonts w:cs="Arial"/>
          <w:iCs/>
        </w:rPr>
        <w:t>We</w:t>
      </w:r>
      <w:r w:rsidRPr="00385C21">
        <w:rPr>
          <w:rFonts w:cs="Arial"/>
          <w:iCs/>
          <w:color w:val="548DD4" w:themeColor="text2" w:themeTint="99"/>
        </w:rPr>
        <w:t xml:space="preserve"> </w:t>
      </w:r>
      <w:r w:rsidRPr="00385C21">
        <w:rPr>
          <w:rFonts w:cs="Arial"/>
          <w:iCs/>
        </w:rPr>
        <w:t xml:space="preserve">will use a Commonwealth Simple </w:t>
      </w:r>
      <w:r>
        <w:rPr>
          <w:rFonts w:cs="Arial"/>
          <w:iCs/>
        </w:rPr>
        <w:t>Grant Agreement</w:t>
      </w:r>
      <w:r w:rsidRPr="00385C21">
        <w:rPr>
          <w:rFonts w:cs="Arial"/>
          <w:iCs/>
        </w:rPr>
        <w:t>.</w:t>
      </w:r>
    </w:p>
    <w:p w14:paraId="09D2098E" w14:textId="77777777" w:rsidR="007568B1" w:rsidRPr="00385C21" w:rsidRDefault="007568B1" w:rsidP="007568B1">
      <w:pPr>
        <w:spacing w:before="120"/>
        <w:rPr>
          <w:rFonts w:cs="Arial"/>
        </w:rPr>
      </w:pPr>
      <w:r w:rsidRPr="00385C21">
        <w:rPr>
          <w:rFonts w:cs="Arial"/>
          <w:iCs/>
        </w:rPr>
        <w:t xml:space="preserve">You will have twenty (20) business days from the date of a written offer to sign and return this </w:t>
      </w:r>
      <w:r>
        <w:rPr>
          <w:rFonts w:cs="Arial"/>
          <w:iCs/>
        </w:rPr>
        <w:t>grant agreement</w:t>
      </w:r>
      <w:r w:rsidRPr="00385C21">
        <w:rPr>
          <w:rFonts w:cs="Arial"/>
          <w:iCs/>
        </w:rPr>
        <w:t xml:space="preserve">. The </w:t>
      </w:r>
      <w:r>
        <w:rPr>
          <w:rFonts w:cs="Arial"/>
          <w:iCs/>
        </w:rPr>
        <w:t>agreement</w:t>
      </w:r>
      <w:r w:rsidRPr="00385C21">
        <w:rPr>
          <w:rFonts w:cs="Arial"/>
          <w:iCs/>
        </w:rPr>
        <w:t xml:space="preserve"> is not considered to be executed until both you and the Commonwealth have signed the </w:t>
      </w:r>
      <w:r>
        <w:rPr>
          <w:rFonts w:cs="Arial"/>
          <w:iCs/>
        </w:rPr>
        <w:t>agreement</w:t>
      </w:r>
      <w:r w:rsidRPr="00385C21">
        <w:rPr>
          <w:rFonts w:cs="Arial"/>
          <w:iCs/>
        </w:rPr>
        <w:t xml:space="preserve">. During this time, we will work with you to finalise details. </w:t>
      </w:r>
    </w:p>
    <w:p w14:paraId="59C5521E" w14:textId="77777777" w:rsidR="007568B1" w:rsidRPr="00385C21" w:rsidRDefault="007568B1" w:rsidP="007568B1">
      <w:pPr>
        <w:spacing w:before="120"/>
        <w:rPr>
          <w:rFonts w:cs="Arial"/>
          <w:iCs/>
        </w:rPr>
      </w:pPr>
      <w:r w:rsidRPr="00385C21">
        <w:rPr>
          <w:rFonts w:cs="Arial"/>
          <w:iCs/>
        </w:rPr>
        <w:t xml:space="preserve">The offer may lapse if both parties do not sign the </w:t>
      </w:r>
      <w:r>
        <w:rPr>
          <w:rFonts w:cs="Arial"/>
          <w:iCs/>
        </w:rPr>
        <w:t>grant agreement</w:t>
      </w:r>
      <w:r w:rsidRPr="00385C21">
        <w:rPr>
          <w:rFonts w:cs="Arial"/>
          <w:iCs/>
        </w:rPr>
        <w:t xml:space="preserve"> within this time. Under certain circumstances, we may extend this period. We base the approval of your </w:t>
      </w:r>
      <w:r>
        <w:rPr>
          <w:rFonts w:cs="Arial"/>
          <w:iCs/>
        </w:rPr>
        <w:t>grant</w:t>
      </w:r>
      <w:r w:rsidRPr="00385C21">
        <w:rPr>
          <w:rFonts w:cs="Arial"/>
          <w:iCs/>
        </w:rPr>
        <w:t xml:space="preserve"> on the information you provide in your application.</w:t>
      </w:r>
    </w:p>
    <w:p w14:paraId="01EC3852" w14:textId="77777777" w:rsidR="007568B1" w:rsidRDefault="007568B1" w:rsidP="007568B1">
      <w:pPr>
        <w:pStyle w:val="Heading3"/>
      </w:pPr>
      <w:bookmarkStart w:id="118" w:name="_Toc3559248"/>
      <w:r>
        <w:t>Commonwealth Child Safe Framework</w:t>
      </w:r>
      <w:bookmarkEnd w:id="118"/>
      <w:r>
        <w:t xml:space="preserve"> </w:t>
      </w:r>
    </w:p>
    <w:p w14:paraId="5E395916" w14:textId="77777777" w:rsidR="007568B1" w:rsidRPr="00FE1F2D" w:rsidRDefault="007568B1" w:rsidP="007568B1">
      <w:pPr>
        <w:spacing w:before="120"/>
        <w:rPr>
          <w:rFonts w:cs="Arial"/>
        </w:rPr>
      </w:pPr>
      <w:r w:rsidRPr="00FE1F2D">
        <w:rPr>
          <w:rFonts w:cs="Arial"/>
        </w:rPr>
        <w:t xml:space="preserve">The Royal Commission into Institutional Responses to Child Sexual Abuse highlighted the need for organisations to adopt child safe practices including appropriate screening of staff, mandatory reporting and adoption of the National Principles for Child Safe Organisations. The </w:t>
      </w:r>
      <w:r>
        <w:rPr>
          <w:rFonts w:cs="Arial"/>
        </w:rPr>
        <w:t>Australian Government</w:t>
      </w:r>
      <w:r w:rsidRPr="00FE1F2D">
        <w:rPr>
          <w:rFonts w:cs="Arial"/>
        </w:rPr>
        <w:t xml:space="preserve"> committed to a new Commonwealth-wide framework to protect children and young people it is responsible for – the Commonwealth Child Safe Framework (CCSF).</w:t>
      </w:r>
    </w:p>
    <w:p w14:paraId="591B7CC8" w14:textId="77777777" w:rsidR="007568B1" w:rsidRPr="00FE1F2D" w:rsidRDefault="007568B1" w:rsidP="007568B1">
      <w:pPr>
        <w:spacing w:before="120"/>
        <w:rPr>
          <w:rFonts w:cs="Arial"/>
        </w:rPr>
      </w:pPr>
      <w:r w:rsidRPr="00FE1F2D">
        <w:rPr>
          <w:rFonts w:cs="Arial"/>
        </w:rPr>
        <w:t xml:space="preserve">The </w:t>
      </w:r>
      <w:r>
        <w:rPr>
          <w:rFonts w:cs="Arial"/>
        </w:rPr>
        <w:t>Australian Government</w:t>
      </w:r>
      <w:r w:rsidRPr="00FE1F2D">
        <w:rPr>
          <w:rFonts w:cs="Arial"/>
        </w:rPr>
        <w:t xml:space="preserve"> is considering appropriate ways to apply the requirements of the CCSF to </w:t>
      </w:r>
      <w:r>
        <w:rPr>
          <w:rFonts w:cs="Arial"/>
        </w:rPr>
        <w:t>grant</w:t>
      </w:r>
      <w:r w:rsidRPr="00FE1F2D">
        <w:rPr>
          <w:rFonts w:cs="Arial"/>
        </w:rPr>
        <w:t xml:space="preserve"> recipients. A child safety clause is likely to be included in a </w:t>
      </w:r>
      <w:r>
        <w:rPr>
          <w:rFonts w:cs="Arial"/>
        </w:rPr>
        <w:t>grant agreement</w:t>
      </w:r>
      <w:r w:rsidRPr="00FE1F2D">
        <w:rPr>
          <w:rFonts w:cs="Arial"/>
        </w:rPr>
        <w:t xml:space="preserve"> where the Commonwealth considers the </w:t>
      </w:r>
      <w:r>
        <w:rPr>
          <w:rFonts w:cs="Arial"/>
        </w:rPr>
        <w:t>grant</w:t>
      </w:r>
      <w:r w:rsidRPr="00FE1F2D">
        <w:rPr>
          <w:rFonts w:cs="Arial"/>
        </w:rPr>
        <w:t xml:space="preserve"> is for:</w:t>
      </w:r>
    </w:p>
    <w:p w14:paraId="0E8EE2B2" w14:textId="6FD751A6" w:rsidR="007568B1" w:rsidRPr="00FE1F2D" w:rsidRDefault="007568B1" w:rsidP="0087683E">
      <w:pPr>
        <w:pStyle w:val="ListBullet"/>
        <w:spacing w:before="120" w:after="120"/>
        <w:rPr>
          <w:rFonts w:cs="Arial"/>
        </w:rPr>
      </w:pPr>
      <w:r w:rsidRPr="00FE1F2D">
        <w:rPr>
          <w:rFonts w:cs="Arial"/>
        </w:rPr>
        <w:t>s</w:t>
      </w:r>
      <w:r w:rsidR="007877B3">
        <w:rPr>
          <w:rFonts w:cs="Arial"/>
        </w:rPr>
        <w:t>ervices directly to children</w:t>
      </w:r>
    </w:p>
    <w:p w14:paraId="1A9B7892" w14:textId="77777777" w:rsidR="007568B1" w:rsidRPr="00FE1F2D" w:rsidRDefault="007568B1" w:rsidP="0087683E">
      <w:pPr>
        <w:pStyle w:val="ListBullet"/>
        <w:spacing w:before="120" w:after="120"/>
        <w:rPr>
          <w:rFonts w:cs="Arial"/>
        </w:rPr>
      </w:pPr>
      <w:r w:rsidRPr="00FE1F2D">
        <w:rPr>
          <w:rFonts w:cs="Arial"/>
        </w:rPr>
        <w:t xml:space="preserve">activities that involve contact with children that is a usual part of, and more than incidental to, the </w:t>
      </w:r>
      <w:r>
        <w:rPr>
          <w:rFonts w:cs="Arial"/>
        </w:rPr>
        <w:t>grant</w:t>
      </w:r>
      <w:r w:rsidRPr="00FE1F2D">
        <w:rPr>
          <w:rFonts w:cs="Arial"/>
        </w:rPr>
        <w:t xml:space="preserve"> activity.</w:t>
      </w:r>
    </w:p>
    <w:p w14:paraId="596D2B77" w14:textId="77777777" w:rsidR="007568B1" w:rsidRPr="00FE1F2D" w:rsidRDefault="007568B1" w:rsidP="007568B1">
      <w:pPr>
        <w:spacing w:before="120"/>
        <w:rPr>
          <w:rFonts w:cs="Arial"/>
        </w:rPr>
      </w:pPr>
      <w:r w:rsidRPr="00FE1F2D">
        <w:rPr>
          <w:rFonts w:cs="Arial"/>
        </w:rPr>
        <w:t xml:space="preserve">A child safety clause may also be included in the </w:t>
      </w:r>
      <w:r>
        <w:rPr>
          <w:rFonts w:cs="Arial"/>
        </w:rPr>
        <w:t>grant agreement</w:t>
      </w:r>
      <w:r w:rsidRPr="00FE1F2D">
        <w:rPr>
          <w:rFonts w:cs="Arial"/>
        </w:rPr>
        <w:t xml:space="preserve"> if the Commonwealth considers the </w:t>
      </w:r>
      <w:r>
        <w:rPr>
          <w:rFonts w:cs="Arial"/>
        </w:rPr>
        <w:t>grant</w:t>
      </w:r>
      <w:r w:rsidRPr="00FE1F2D">
        <w:rPr>
          <w:rFonts w:cs="Arial"/>
        </w:rPr>
        <w:t xml:space="preserve"> activity involves children more broadly.</w:t>
      </w:r>
    </w:p>
    <w:p w14:paraId="4C29576F" w14:textId="77777777" w:rsidR="007568B1" w:rsidRPr="00A415DD" w:rsidRDefault="007568B1" w:rsidP="007568B1">
      <w:pPr>
        <w:spacing w:before="120"/>
        <w:rPr>
          <w:rFonts w:cs="Arial"/>
        </w:rPr>
      </w:pPr>
      <w:r w:rsidRPr="00FE1F2D">
        <w:rPr>
          <w:rFonts w:cs="Arial"/>
        </w:rPr>
        <w:t xml:space="preserve">The successful applicant will be required to comply with all child safety obligations included in the </w:t>
      </w:r>
      <w:r>
        <w:rPr>
          <w:rFonts w:cs="Arial"/>
        </w:rPr>
        <w:t>grant agreement</w:t>
      </w:r>
      <w:r w:rsidRPr="00FE1F2D">
        <w:rPr>
          <w:rFonts w:cs="Arial"/>
        </w:rPr>
        <w:t xml:space="preserve"> published with this </w:t>
      </w:r>
      <w:r>
        <w:rPr>
          <w:rFonts w:cs="Arial"/>
        </w:rPr>
        <w:t>grant</w:t>
      </w:r>
      <w:r w:rsidRPr="00FE1F2D">
        <w:rPr>
          <w:rFonts w:cs="Arial"/>
        </w:rPr>
        <w:t xml:space="preserve"> opportunity or notified to the successful applicant prior to execution of the </w:t>
      </w:r>
      <w:r>
        <w:rPr>
          <w:rFonts w:cs="Arial"/>
        </w:rPr>
        <w:t>grant agreement</w:t>
      </w:r>
      <w:r w:rsidRPr="00FE1F2D">
        <w:rPr>
          <w:rFonts w:cs="Arial"/>
        </w:rPr>
        <w:t xml:space="preserve">. Irrespective of the child safety obligations in the </w:t>
      </w:r>
      <w:r>
        <w:rPr>
          <w:rFonts w:cs="Arial"/>
        </w:rPr>
        <w:t>grant agreement</w:t>
      </w:r>
      <w:r w:rsidRPr="00FE1F2D">
        <w:rPr>
          <w:rFonts w:cs="Arial"/>
        </w:rPr>
        <w:t xml:space="preserve"> you must always comply with your state and territory legislative requirements for working with children and mandatory reporting.</w:t>
      </w:r>
      <w:bookmarkEnd w:id="116"/>
    </w:p>
    <w:p w14:paraId="690C2A0B" w14:textId="77777777" w:rsidR="007568B1" w:rsidRPr="00436036" w:rsidRDefault="007568B1" w:rsidP="007568B1">
      <w:pPr>
        <w:pStyle w:val="Heading3"/>
      </w:pPr>
      <w:bookmarkStart w:id="119" w:name="_Toc3559249"/>
      <w:r w:rsidRPr="00436036">
        <w:t>Multicultural Access and Equity</w:t>
      </w:r>
      <w:bookmarkEnd w:id="119"/>
      <w:r w:rsidRPr="00436036">
        <w:t xml:space="preserve"> </w:t>
      </w:r>
    </w:p>
    <w:p w14:paraId="12B5D758" w14:textId="77777777" w:rsidR="007568B1" w:rsidRPr="00B03BA6" w:rsidRDefault="007568B1" w:rsidP="007568B1">
      <w:pPr>
        <w:pStyle w:val="ListBullet"/>
        <w:numPr>
          <w:ilvl w:val="0"/>
          <w:numId w:val="0"/>
        </w:numPr>
        <w:spacing w:before="120" w:after="120"/>
        <w:rPr>
          <w:iCs w:val="0"/>
        </w:rPr>
      </w:pPr>
      <w:r>
        <w:rPr>
          <w:iCs w:val="0"/>
        </w:rPr>
        <w:t>The Australian Government</w:t>
      </w:r>
      <w:r w:rsidRPr="00B03BA6">
        <w:rPr>
          <w:iCs w:val="0"/>
        </w:rPr>
        <w:t xml:space="preserve">’s </w:t>
      </w:r>
      <w:r w:rsidRPr="001C14C9">
        <w:rPr>
          <w:i/>
          <w:iCs w:val="0"/>
        </w:rPr>
        <w:t>Multicultural Access and Equity Policy</w:t>
      </w:r>
      <w:r w:rsidRPr="00B03BA6">
        <w:rPr>
          <w:iCs w:val="0"/>
        </w:rPr>
        <w:t xml:space="preserve"> obliges </w:t>
      </w:r>
      <w:r>
        <w:rPr>
          <w:iCs w:val="0"/>
        </w:rPr>
        <w:t>Australian Government</w:t>
      </w:r>
      <w:r w:rsidRPr="00B03BA6">
        <w:rPr>
          <w:iCs w:val="0"/>
        </w:rPr>
        <w:t xml:space="preserve"> agencies to ensure their policies, programs and services - including those provided by contractors and service delivery partners - are accessible to, and deliver equitable outcomes for, people from culturally and linguistically diverse (CALD) backgrounds. </w:t>
      </w:r>
    </w:p>
    <w:p w14:paraId="6512FB4C" w14:textId="77777777" w:rsidR="007568B1" w:rsidRDefault="007568B1" w:rsidP="007568B1">
      <w:pPr>
        <w:pStyle w:val="ListBullet"/>
        <w:numPr>
          <w:ilvl w:val="0"/>
          <w:numId w:val="0"/>
        </w:numPr>
        <w:spacing w:before="120" w:after="120"/>
        <w:rPr>
          <w:iCs w:val="0"/>
        </w:rPr>
      </w:pPr>
      <w:r>
        <w:rPr>
          <w:iCs w:val="0"/>
        </w:rPr>
        <w:t>Grant</w:t>
      </w:r>
      <w:r w:rsidRPr="00B03BA6">
        <w:rPr>
          <w:iCs w:val="0"/>
        </w:rPr>
        <w:t xml:space="preserve"> applicants should consider how they will ensure their services will be accessible to people from CALD backgrounds. For example, service delivery partners may require cultural competency </w:t>
      </w:r>
      <w:r w:rsidRPr="00B03BA6">
        <w:rPr>
          <w:iCs w:val="0"/>
        </w:rPr>
        <w:lastRenderedPageBreak/>
        <w:t xml:space="preserve">skills. In addition, services, projects, activities or events may require the use of professional translating or interpreting services in order to communicate with clients who have limited English proficiency. Based on an assessment of the client target group, costs for translating and interpreting services should be factored into </w:t>
      </w:r>
      <w:r>
        <w:rPr>
          <w:iCs w:val="0"/>
        </w:rPr>
        <w:t>grant</w:t>
      </w:r>
      <w:r w:rsidRPr="00B03BA6">
        <w:rPr>
          <w:iCs w:val="0"/>
        </w:rPr>
        <w:t xml:space="preserve"> applications </w:t>
      </w:r>
      <w:r w:rsidRPr="003B4694">
        <w:rPr>
          <w:iCs w:val="0"/>
        </w:rPr>
        <w:t xml:space="preserve">(to assist with identifying these costs see the Translating and Interpreting Services costing tool in the </w:t>
      </w:r>
      <w:r>
        <w:rPr>
          <w:iCs w:val="0"/>
        </w:rPr>
        <w:t>grant</w:t>
      </w:r>
      <w:r w:rsidRPr="003B4694">
        <w:rPr>
          <w:iCs w:val="0"/>
        </w:rPr>
        <w:t xml:space="preserve"> opportunity documents).</w:t>
      </w:r>
    </w:p>
    <w:p w14:paraId="243F7285" w14:textId="77777777" w:rsidR="007568B1" w:rsidRPr="00F4677D" w:rsidRDefault="007568B1" w:rsidP="007568B1">
      <w:pPr>
        <w:pStyle w:val="Heading3"/>
      </w:pPr>
      <w:bookmarkStart w:id="120" w:name="_Toc530579998"/>
      <w:bookmarkStart w:id="121" w:name="_Toc3559250"/>
      <w:bookmarkEnd w:id="120"/>
      <w:r w:rsidRPr="00F4677D">
        <w:t xml:space="preserve">How </w:t>
      </w:r>
      <w:r>
        <w:t>we</w:t>
      </w:r>
      <w:r w:rsidRPr="00F4677D">
        <w:t xml:space="preserve"> pay the </w:t>
      </w:r>
      <w:r>
        <w:t>grant</w:t>
      </w:r>
      <w:bookmarkEnd w:id="121"/>
    </w:p>
    <w:p w14:paraId="31191EFA" w14:textId="77777777" w:rsidR="007568B1" w:rsidRPr="00DB0315" w:rsidRDefault="007568B1" w:rsidP="007568B1">
      <w:pPr>
        <w:tabs>
          <w:tab w:val="left" w:pos="0"/>
        </w:tabs>
        <w:spacing w:before="120"/>
        <w:rPr>
          <w:bCs/>
          <w:lang w:eastAsia="en-AU"/>
        </w:rPr>
      </w:pPr>
      <w:bookmarkStart w:id="122" w:name="_Toc466898122"/>
      <w:r w:rsidRPr="00DB0315">
        <w:rPr>
          <w:bCs/>
          <w:lang w:eastAsia="en-AU"/>
        </w:rPr>
        <w:t xml:space="preserve">The </w:t>
      </w:r>
      <w:r>
        <w:rPr>
          <w:bCs/>
          <w:lang w:eastAsia="en-AU"/>
        </w:rPr>
        <w:t xml:space="preserve">grant agreement </w:t>
      </w:r>
      <w:r w:rsidRPr="00DB0315">
        <w:rPr>
          <w:bCs/>
          <w:lang w:eastAsia="en-AU"/>
        </w:rPr>
        <w:t>will state the:</w:t>
      </w:r>
    </w:p>
    <w:p w14:paraId="2BC61B50" w14:textId="52DA82A6" w:rsidR="007568B1" w:rsidRPr="00DB0315" w:rsidRDefault="007568B1" w:rsidP="007568B1">
      <w:pPr>
        <w:pStyle w:val="ListBullet"/>
        <w:spacing w:before="120" w:after="120"/>
      </w:pPr>
      <w:r w:rsidRPr="00DB0315">
        <w:t xml:space="preserve">maximum </w:t>
      </w:r>
      <w:r>
        <w:t>grant</w:t>
      </w:r>
      <w:r w:rsidRPr="00DB0315">
        <w:t xml:space="preserve"> amount to be paid</w:t>
      </w:r>
    </w:p>
    <w:p w14:paraId="6A129245" w14:textId="77777777" w:rsidR="007568B1" w:rsidRDefault="007568B1" w:rsidP="007568B1">
      <w:pPr>
        <w:pStyle w:val="ListBullet"/>
        <w:spacing w:before="120" w:after="120"/>
      </w:pPr>
      <w:r>
        <w:t>any financial contribution provided by a third party.</w:t>
      </w:r>
    </w:p>
    <w:p w14:paraId="65824279" w14:textId="77777777" w:rsidR="007568B1" w:rsidRPr="00110267" w:rsidRDefault="007568B1" w:rsidP="007568B1">
      <w:pPr>
        <w:spacing w:before="120"/>
      </w:pPr>
      <w:r>
        <w:t xml:space="preserve">We will make an initial payment on execution of the grant agreement. We will make subsequent </w:t>
      </w:r>
      <w:r w:rsidRPr="0037584C">
        <w:t>payments six monthly</w:t>
      </w:r>
      <w:r>
        <w:t xml:space="preserve"> </w:t>
      </w:r>
      <w:r w:rsidRPr="0037584C">
        <w:t xml:space="preserve">in </w:t>
      </w:r>
      <w:r w:rsidRPr="00110267">
        <w:t>advance, based on your forecast eligible expenditure and adjusted for unspent amounts from previous payments. Payments are subject to satisfactory progress.</w:t>
      </w:r>
    </w:p>
    <w:p w14:paraId="513CFAE4" w14:textId="77777777" w:rsidR="007568B1" w:rsidRPr="00D369C8" w:rsidRDefault="007568B1" w:rsidP="007568B1">
      <w:pPr>
        <w:pStyle w:val="Heading3"/>
      </w:pPr>
      <w:bookmarkStart w:id="123" w:name="_Toc529276547"/>
      <w:bookmarkStart w:id="124" w:name="_Toc529458389"/>
      <w:bookmarkStart w:id="125" w:name="_Toc530486357"/>
      <w:bookmarkStart w:id="126" w:name="_Toc530580001"/>
      <w:bookmarkStart w:id="127" w:name="_Toc3559251"/>
      <w:bookmarkEnd w:id="123"/>
      <w:bookmarkEnd w:id="124"/>
      <w:bookmarkEnd w:id="125"/>
      <w:bookmarkEnd w:id="126"/>
      <w:r>
        <w:t>Grants payments and GST</w:t>
      </w:r>
      <w:bookmarkEnd w:id="127"/>
    </w:p>
    <w:p w14:paraId="2B71DBFD" w14:textId="77777777" w:rsidR="007568B1" w:rsidRDefault="007568B1" w:rsidP="007568B1">
      <w:pPr>
        <w:spacing w:before="120"/>
      </w:pPr>
      <w:r w:rsidRPr="0008705C">
        <w:t xml:space="preserve">If you are registered for the </w:t>
      </w:r>
      <w:hyperlink r:id="rId46" w:history="1">
        <w:r w:rsidRPr="00A0120E">
          <w:rPr>
            <w:rStyle w:val="Hyperlink"/>
          </w:rPr>
          <w:t>Goods and Services Tax (GST)</w:t>
        </w:r>
      </w:hyperlink>
      <w:r w:rsidRPr="00815A59">
        <w:t xml:space="preserve">, where applicable, </w:t>
      </w:r>
      <w:r>
        <w:t>we</w:t>
      </w:r>
      <w:r w:rsidRPr="00815A59">
        <w:t xml:space="preserve"> will add GST to your </w:t>
      </w:r>
      <w:r>
        <w:t>grant</w:t>
      </w:r>
      <w:r w:rsidRPr="00815A59">
        <w:t xml:space="preserve"> payment</w:t>
      </w:r>
      <w:r>
        <w:t xml:space="preserve"> and issue you with a </w:t>
      </w:r>
      <w:hyperlink r:id="rId47" w:history="1">
        <w:r w:rsidRPr="00A0120E">
          <w:rPr>
            <w:rStyle w:val="Hyperlink"/>
          </w:rPr>
          <w:t>Recipient Created Tax Invoice</w:t>
        </w:r>
      </w:hyperlink>
      <w:r>
        <w:t>.</w:t>
      </w:r>
    </w:p>
    <w:p w14:paraId="4A11469C" w14:textId="77777777" w:rsidR="007568B1" w:rsidRPr="004223FA" w:rsidRDefault="007568B1" w:rsidP="007568B1">
      <w:pPr>
        <w:spacing w:before="120"/>
      </w:pPr>
      <w:r>
        <w:t>Grant</w:t>
      </w:r>
      <w:r w:rsidRPr="00E162FF">
        <w:t xml:space="preserve">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48" w:history="1">
        <w:r w:rsidRPr="002612BF">
          <w:rPr>
            <w:rStyle w:val="Hyperlink"/>
          </w:rPr>
          <w:t>Australian Taxation Office</w:t>
        </w:r>
      </w:hyperlink>
      <w:r w:rsidRPr="00E162FF">
        <w:t>.</w:t>
      </w:r>
      <w:r>
        <w:rPr>
          <w:rStyle w:val="FootnoteReference"/>
        </w:rPr>
        <w:footnoteReference w:id="8"/>
      </w:r>
      <w:r w:rsidRPr="00E162FF">
        <w:t xml:space="preserve"> </w:t>
      </w:r>
      <w:r>
        <w:t>We do not</w:t>
      </w:r>
      <w:r w:rsidRPr="00E162FF">
        <w:t xml:space="preserve"> provide advice on </w:t>
      </w:r>
      <w:r>
        <w:t xml:space="preserve">your particular </w:t>
      </w:r>
      <w:r w:rsidRPr="004223FA">
        <w:t xml:space="preserve">taxation circumstances. </w:t>
      </w:r>
    </w:p>
    <w:p w14:paraId="13CEB660" w14:textId="77777777" w:rsidR="007568B1" w:rsidRPr="004223FA" w:rsidDel="00457E6C" w:rsidRDefault="007568B1" w:rsidP="007568B1">
      <w:pPr>
        <w:pStyle w:val="Heading2"/>
      </w:pPr>
      <w:bookmarkStart w:id="128" w:name="_Toc494290551"/>
      <w:bookmarkStart w:id="129" w:name="_Toc485726977"/>
      <w:bookmarkStart w:id="130" w:name="_Toc485736597"/>
      <w:bookmarkStart w:id="131" w:name="_Toc3559252"/>
      <w:bookmarkStart w:id="132" w:name="_Toc164844284"/>
      <w:bookmarkEnd w:id="122"/>
      <w:bookmarkEnd w:id="128"/>
      <w:r w:rsidRPr="004223FA" w:rsidDel="00457E6C">
        <w:t xml:space="preserve">Announcement of </w:t>
      </w:r>
      <w:r>
        <w:t>grant</w:t>
      </w:r>
      <w:r w:rsidRPr="004223FA" w:rsidDel="00457E6C">
        <w:t>s</w:t>
      </w:r>
      <w:bookmarkEnd w:id="129"/>
      <w:bookmarkEnd w:id="130"/>
      <w:bookmarkEnd w:id="131"/>
    </w:p>
    <w:p w14:paraId="7C374355" w14:textId="47D93E6F" w:rsidR="007568B1" w:rsidRPr="00796798" w:rsidDel="00457E6C" w:rsidRDefault="007568B1" w:rsidP="007568B1">
      <w:pPr>
        <w:spacing w:before="120"/>
        <w:rPr>
          <w:i/>
        </w:rPr>
      </w:pPr>
      <w:r w:rsidDel="00457E6C">
        <w:t xml:space="preserve">If successful, your </w:t>
      </w:r>
      <w:r>
        <w:t>grant</w:t>
      </w:r>
      <w:r w:rsidDel="00457E6C">
        <w:t xml:space="preserve"> </w:t>
      </w:r>
      <w:r w:rsidDel="0035202F">
        <w:t>will be listed</w:t>
      </w:r>
      <w:r w:rsidRPr="00B72EE8" w:rsidDel="0035202F">
        <w:t xml:space="preserve"> </w:t>
      </w:r>
      <w:r w:rsidRPr="00B72EE8" w:rsidDel="00457E6C">
        <w:t>on</w:t>
      </w:r>
      <w:r w:rsidDel="00457E6C">
        <w:t xml:space="preserve"> the </w:t>
      </w:r>
      <w:hyperlink r:id="rId49" w:history="1">
        <w:r>
          <w:rPr>
            <w:rStyle w:val="Hyperlink"/>
          </w:rPr>
          <w:t>Grant</w:t>
        </w:r>
        <w:r w:rsidRPr="00452C26">
          <w:rPr>
            <w:rStyle w:val="Hyperlink"/>
          </w:rPr>
          <w:t>Connect</w:t>
        </w:r>
      </w:hyperlink>
      <w:r w:rsidRPr="009E283B">
        <w:t xml:space="preserve"> </w:t>
      </w:r>
      <w:r w:rsidRPr="000A572F" w:rsidDel="00457E6C">
        <w:t>website</w:t>
      </w:r>
      <w:r w:rsidDel="00457E6C">
        <w:t xml:space="preserve"> </w:t>
      </w:r>
      <w:r>
        <w:t>21</w:t>
      </w:r>
      <w:r w:rsidDel="00457E6C">
        <w:t xml:space="preserve"> </w:t>
      </w:r>
      <w:r>
        <w:t xml:space="preserve">calendar </w:t>
      </w:r>
      <w:r w:rsidDel="00457E6C">
        <w:t>d</w:t>
      </w:r>
      <w:r w:rsidRPr="000A572F" w:rsidDel="00457E6C">
        <w:t xml:space="preserve">ays </w:t>
      </w:r>
      <w:r w:rsidDel="00457E6C">
        <w:t>after</w:t>
      </w:r>
      <w:r w:rsidRPr="000A572F" w:rsidDel="00457E6C">
        <w:t xml:space="preserve"> </w:t>
      </w:r>
      <w:r w:rsidDel="00457E6C">
        <w:t xml:space="preserve">the date of effect as required by </w:t>
      </w:r>
      <w:r w:rsidRPr="00B368D9" w:rsidDel="00457E6C">
        <w:t xml:space="preserve">Section 5.3 of the </w:t>
      </w:r>
      <w:hyperlink r:id="rId50" w:history="1">
        <w:r w:rsidRPr="006D23C4" w:rsidDel="00457E6C">
          <w:rPr>
            <w:rStyle w:val="Hyperlink"/>
          </w:rPr>
          <w:t>CGRGs</w:t>
        </w:r>
      </w:hyperlink>
      <w:r w:rsidRPr="00CF2166" w:rsidDel="00457E6C">
        <w:t>.</w:t>
      </w:r>
      <w:r w:rsidRPr="00F27CA7" w:rsidDel="00457E6C">
        <w:rPr>
          <w:i/>
        </w:rPr>
        <w:t xml:space="preserve"> </w:t>
      </w:r>
    </w:p>
    <w:p w14:paraId="6F1F1880" w14:textId="77777777" w:rsidR="007568B1" w:rsidRDefault="007568B1" w:rsidP="007568B1">
      <w:pPr>
        <w:pStyle w:val="Heading2"/>
      </w:pPr>
      <w:bookmarkStart w:id="133" w:name="_Toc530486361"/>
      <w:bookmarkStart w:id="134" w:name="_Toc530580006"/>
      <w:bookmarkStart w:id="135" w:name="_Toc3559253"/>
      <w:bookmarkEnd w:id="133"/>
      <w:bookmarkEnd w:id="134"/>
      <w:r>
        <w:t>How we monitor your grant activity</w:t>
      </w:r>
      <w:bookmarkEnd w:id="135"/>
    </w:p>
    <w:p w14:paraId="16FBD3D3" w14:textId="77777777" w:rsidR="007568B1" w:rsidRPr="00170226" w:rsidRDefault="007568B1" w:rsidP="007568B1">
      <w:pPr>
        <w:pStyle w:val="Heading3"/>
      </w:pPr>
      <w:bookmarkStart w:id="136" w:name="_Toc3559254"/>
      <w:r w:rsidRPr="00170226">
        <w:t>Keeping us informed</w:t>
      </w:r>
      <w:bookmarkEnd w:id="136"/>
    </w:p>
    <w:p w14:paraId="55F9F9BA" w14:textId="77777777" w:rsidR="007568B1" w:rsidRDefault="007568B1" w:rsidP="007568B1">
      <w:pPr>
        <w:spacing w:before="120"/>
      </w:pPr>
      <w:r>
        <w:t>You should let us know if anything is likely to affect your SETS activity</w:t>
      </w:r>
      <w:r>
        <w:rPr>
          <w:color w:val="0070C0"/>
        </w:rPr>
        <w:t xml:space="preserve"> </w:t>
      </w:r>
      <w:r>
        <w:t xml:space="preserve">or organisation. </w:t>
      </w:r>
    </w:p>
    <w:p w14:paraId="71EE379F" w14:textId="77777777" w:rsidR="007568B1" w:rsidRDefault="007568B1" w:rsidP="007568B1">
      <w:pPr>
        <w:spacing w:before="120"/>
      </w:pPr>
      <w:r w:rsidRPr="00EE0C10">
        <w:t>We</w:t>
      </w:r>
      <w:r>
        <w:t xml:space="preserve"> need to know of any changes to your organisation or its business activities, particularly if they affect your ability to complete your grant, carry on business and pay debts due because of these changes.</w:t>
      </w:r>
    </w:p>
    <w:p w14:paraId="5AD8D3E8" w14:textId="77777777" w:rsidR="007568B1" w:rsidRPr="00683955" w:rsidRDefault="007568B1" w:rsidP="007568B1">
      <w:pPr>
        <w:pStyle w:val="Heading3"/>
      </w:pPr>
      <w:bookmarkStart w:id="137" w:name="_Toc529276553"/>
      <w:bookmarkStart w:id="138" w:name="_Toc3559255"/>
      <w:bookmarkEnd w:id="137"/>
      <w:r w:rsidRPr="00683955">
        <w:t>Reporting</w:t>
      </w:r>
      <w:bookmarkEnd w:id="138"/>
      <w:r w:rsidRPr="00683955">
        <w:t xml:space="preserve"> </w:t>
      </w:r>
    </w:p>
    <w:p w14:paraId="4B4662F1" w14:textId="77777777" w:rsidR="007568B1" w:rsidRPr="000048E2" w:rsidRDefault="007568B1" w:rsidP="007568B1">
      <w:pPr>
        <w:spacing w:before="120"/>
        <w:rPr>
          <w:rFonts w:cstheme="minorHAnsi"/>
          <w:lang w:val="en-GB"/>
        </w:rPr>
      </w:pPr>
      <w:r>
        <w:rPr>
          <w:rFonts w:cstheme="minorHAnsi"/>
          <w:lang w:val="en-GB"/>
        </w:rPr>
        <w:t xml:space="preserve">Grantees </w:t>
      </w:r>
      <w:r w:rsidRPr="000048E2">
        <w:rPr>
          <w:rFonts w:cstheme="minorHAnsi"/>
          <w:lang w:val="en-GB"/>
        </w:rPr>
        <w:t xml:space="preserve">must have systems in place to meet their data collection and reporting obligations outlined in their </w:t>
      </w:r>
      <w:r>
        <w:rPr>
          <w:rFonts w:cstheme="minorHAnsi"/>
          <w:lang w:val="en-GB"/>
        </w:rPr>
        <w:t>grant agreement</w:t>
      </w:r>
      <w:r w:rsidRPr="000048E2">
        <w:rPr>
          <w:rFonts w:cstheme="minorHAnsi"/>
          <w:lang w:val="en-GB"/>
        </w:rPr>
        <w:t>.</w:t>
      </w:r>
    </w:p>
    <w:p w14:paraId="664E9476" w14:textId="77777777" w:rsidR="007568B1" w:rsidRDefault="007568B1" w:rsidP="007568B1">
      <w:pPr>
        <w:spacing w:before="120"/>
        <w:rPr>
          <w:rFonts w:cstheme="minorHAnsi"/>
        </w:rPr>
      </w:pPr>
      <w:r w:rsidRPr="000048E2">
        <w:rPr>
          <w:rFonts w:cstheme="minorHAnsi"/>
        </w:rPr>
        <w:t xml:space="preserve">Performance information (e.g. client characteristics and service delivery information) </w:t>
      </w:r>
      <w:r>
        <w:rPr>
          <w:rFonts w:cstheme="minorHAnsi"/>
        </w:rPr>
        <w:t>needs</w:t>
      </w:r>
      <w:r w:rsidRPr="000048E2">
        <w:rPr>
          <w:rFonts w:cstheme="minorHAnsi"/>
        </w:rPr>
        <w:t xml:space="preserve"> to b</w:t>
      </w:r>
      <w:r>
        <w:rPr>
          <w:rFonts w:cstheme="minorHAnsi"/>
        </w:rPr>
        <w:t>e collected by grantees</w:t>
      </w:r>
      <w:r w:rsidRPr="000048E2">
        <w:rPr>
          <w:rFonts w:cstheme="minorHAnsi"/>
        </w:rPr>
        <w:t xml:space="preserve"> at the client level and </w:t>
      </w:r>
      <w:r>
        <w:rPr>
          <w:rFonts w:cstheme="minorHAnsi"/>
        </w:rPr>
        <w:t>put</w:t>
      </w:r>
      <w:r w:rsidRPr="000048E2">
        <w:rPr>
          <w:rFonts w:cstheme="minorHAnsi"/>
        </w:rPr>
        <w:t xml:space="preserve"> directly into the department’s </w:t>
      </w:r>
      <w:r>
        <w:rPr>
          <w:rFonts w:cstheme="minorHAnsi"/>
        </w:rPr>
        <w:t xml:space="preserve">performance reporting solution, the Data Exchange. </w:t>
      </w:r>
    </w:p>
    <w:p w14:paraId="6FA255B2" w14:textId="77777777" w:rsidR="007568B1" w:rsidRDefault="007568B1" w:rsidP="007568B1">
      <w:pPr>
        <w:spacing w:before="120"/>
      </w:pPr>
      <w:r>
        <w:t>The performance information reported through the Data Exchange includes:</w:t>
      </w:r>
    </w:p>
    <w:p w14:paraId="41BE7DE8" w14:textId="77777777" w:rsidR="007568B1" w:rsidRPr="0087683E" w:rsidRDefault="007568B1" w:rsidP="0087683E">
      <w:pPr>
        <w:pStyle w:val="ListBullet"/>
        <w:spacing w:before="120" w:after="120"/>
        <w:rPr>
          <w:rFonts w:cs="Arial"/>
        </w:rPr>
      </w:pPr>
      <w:r>
        <w:lastRenderedPageBreak/>
        <w:t xml:space="preserve">client </w:t>
      </w:r>
      <w:r w:rsidRPr="0087683E">
        <w:rPr>
          <w:rFonts w:cs="Arial"/>
        </w:rPr>
        <w:t>identity characteristics (given and family names, date of birth, gender and residential address)</w:t>
      </w:r>
    </w:p>
    <w:p w14:paraId="43F10B04" w14:textId="77777777" w:rsidR="007568B1" w:rsidRPr="0087683E" w:rsidRDefault="007568B1" w:rsidP="0087683E">
      <w:pPr>
        <w:pStyle w:val="ListBullet"/>
        <w:spacing w:before="120" w:after="120"/>
        <w:rPr>
          <w:rFonts w:cs="Arial"/>
        </w:rPr>
      </w:pPr>
      <w:r w:rsidRPr="0087683E">
        <w:rPr>
          <w:rFonts w:cs="Arial"/>
        </w:rPr>
        <w:t>client demographic characteristics (Indigenous status, cultural and linguistic diversity, and disability status, impairment or condition)</w:t>
      </w:r>
    </w:p>
    <w:p w14:paraId="11407B36" w14:textId="77777777" w:rsidR="007568B1" w:rsidRPr="0087683E" w:rsidRDefault="007568B1" w:rsidP="0087683E">
      <w:pPr>
        <w:pStyle w:val="ListBullet"/>
        <w:spacing w:before="120" w:after="120"/>
        <w:rPr>
          <w:rFonts w:cs="Arial"/>
        </w:rPr>
      </w:pPr>
      <w:r w:rsidRPr="0087683E">
        <w:rPr>
          <w:rFonts w:cs="Arial"/>
        </w:rPr>
        <w:t>service delivery information (outlets, cases, sessions)</w:t>
      </w:r>
    </w:p>
    <w:p w14:paraId="71C38987" w14:textId="77777777" w:rsidR="007568B1" w:rsidRPr="0087683E" w:rsidRDefault="007568B1" w:rsidP="0087683E">
      <w:pPr>
        <w:pStyle w:val="ListBullet"/>
        <w:spacing w:before="120" w:after="120"/>
        <w:rPr>
          <w:rFonts w:cs="Arial"/>
        </w:rPr>
      </w:pPr>
      <w:r w:rsidRPr="0087683E">
        <w:rPr>
          <w:rFonts w:cs="Arial"/>
        </w:rPr>
        <w:t>client outcomes.</w:t>
      </w:r>
    </w:p>
    <w:p w14:paraId="757FE1BF" w14:textId="77777777" w:rsidR="007568B1" w:rsidRDefault="007568B1" w:rsidP="007568B1">
      <w:pPr>
        <w:spacing w:before="120"/>
        <w:rPr>
          <w:rFonts w:cstheme="minorHAnsi"/>
        </w:rPr>
      </w:pPr>
      <w:r w:rsidRPr="00D153CA">
        <w:rPr>
          <w:rFonts w:cs="Arial"/>
        </w:rPr>
        <w:t>The Data Exchange has two standardised six</w:t>
      </w:r>
      <w:r>
        <w:rPr>
          <w:rFonts w:cs="Arial"/>
        </w:rPr>
        <w:t>-</w:t>
      </w:r>
      <w:r w:rsidRPr="00D153CA">
        <w:rPr>
          <w:rFonts w:cs="Arial"/>
        </w:rPr>
        <w:t xml:space="preserve">monthly performance reporting periods each year, </w:t>
      </w:r>
      <w:r w:rsidRPr="00D153CA">
        <w:rPr>
          <w:rFonts w:cs="Arial"/>
          <w:bCs/>
        </w:rPr>
        <w:t>which run from 1 July to 31 December and 1 January to 30 June, with a 30</w:t>
      </w:r>
      <w:r>
        <w:rPr>
          <w:rFonts w:cs="Arial"/>
          <w:bCs/>
        </w:rPr>
        <w:t>-</w:t>
      </w:r>
      <w:r w:rsidRPr="00D153CA">
        <w:rPr>
          <w:rFonts w:cs="Arial"/>
          <w:bCs/>
        </w:rPr>
        <w:t>day close</w:t>
      </w:r>
      <w:r>
        <w:rPr>
          <w:rFonts w:cs="Arial"/>
          <w:bCs/>
        </w:rPr>
        <w:t>-</w:t>
      </w:r>
      <w:r w:rsidRPr="00D153CA">
        <w:rPr>
          <w:rFonts w:cs="Arial"/>
          <w:bCs/>
        </w:rPr>
        <w:t>off period after each of these. Once the close-off period is completed no further changes can be made to the data.</w:t>
      </w:r>
    </w:p>
    <w:p w14:paraId="46045732" w14:textId="77777777" w:rsidR="007568B1" w:rsidRDefault="007568B1" w:rsidP="007568B1">
      <w:pPr>
        <w:spacing w:before="120"/>
        <w:rPr>
          <w:rStyle w:val="Hyperlink"/>
          <w:rFonts w:cstheme="minorHAnsi"/>
          <w:lang w:val="en-GB"/>
        </w:rPr>
      </w:pPr>
      <w:r w:rsidRPr="000048E2">
        <w:rPr>
          <w:rFonts w:cstheme="minorHAnsi"/>
        </w:rPr>
        <w:t>Information must be provided in accordance with the</w:t>
      </w:r>
      <w:r w:rsidRPr="000048E2">
        <w:rPr>
          <w:rFonts w:cstheme="minorHAnsi"/>
          <w:i/>
        </w:rPr>
        <w:t xml:space="preserve"> </w:t>
      </w:r>
      <w:r w:rsidRPr="000048E2">
        <w:rPr>
          <w:rFonts w:cstheme="minorHAnsi"/>
        </w:rPr>
        <w:t xml:space="preserve">Data Exchange Protocols available </w:t>
      </w:r>
      <w:r>
        <w:rPr>
          <w:rFonts w:cstheme="minorHAnsi"/>
        </w:rPr>
        <w:t>on</w:t>
      </w:r>
      <w:r w:rsidRPr="000048E2">
        <w:rPr>
          <w:rFonts w:cstheme="minorHAnsi"/>
        </w:rPr>
        <w:t xml:space="preserve"> </w:t>
      </w:r>
      <w:r>
        <w:rPr>
          <w:rFonts w:cstheme="minorHAnsi"/>
        </w:rPr>
        <w:t xml:space="preserve">the </w:t>
      </w:r>
      <w:hyperlink r:id="rId51" w:history="1">
        <w:r w:rsidRPr="006A0F3E">
          <w:rPr>
            <w:rStyle w:val="Hyperlink"/>
            <w:rFonts w:cstheme="minorHAnsi"/>
          </w:rPr>
          <w:t>Data Exchange website</w:t>
        </w:r>
      </w:hyperlink>
      <w:r>
        <w:rPr>
          <w:rFonts w:cstheme="minorHAnsi"/>
        </w:rPr>
        <w:t>.</w:t>
      </w:r>
    </w:p>
    <w:p w14:paraId="2F91E7EA" w14:textId="77777777" w:rsidR="007568B1" w:rsidRDefault="007568B1" w:rsidP="007568B1">
      <w:pPr>
        <w:spacing w:before="120"/>
      </w:pPr>
      <w:r w:rsidRPr="003B4694">
        <w:t xml:space="preserve">For this </w:t>
      </w:r>
      <w:r>
        <w:t>a</w:t>
      </w:r>
      <w:r w:rsidRPr="003B4694">
        <w:t>ctivity, participation in the “partnership approach” is a requirement of funding. By participating, you agree to provide some additional information in exchange for the receipt of regular and relevant reports. The main focus of the partnership approach is collecting information about the outcomes achieved by clients as a result of service delivery. The partnership approach also includes some extended data items that provide additional information about client demographics, needs and circumstances.</w:t>
      </w:r>
    </w:p>
    <w:p w14:paraId="0B7AD22E" w14:textId="77777777" w:rsidR="007568B1" w:rsidRPr="00D30508" w:rsidRDefault="007568B1" w:rsidP="007568B1">
      <w:pPr>
        <w:spacing w:before="120"/>
        <w:rPr>
          <w:rFonts w:cstheme="minorHAnsi"/>
        </w:rPr>
      </w:pPr>
      <w:bookmarkStart w:id="139" w:name="_Toc468693655"/>
      <w:bookmarkStart w:id="140" w:name="_Toc509838910"/>
      <w:r w:rsidRPr="00D30508">
        <w:rPr>
          <w:rFonts w:cstheme="minorHAnsi"/>
        </w:rPr>
        <w:t>You must submit reports</w:t>
      </w:r>
      <w:r w:rsidRPr="00D30508">
        <w:rPr>
          <w:rFonts w:cstheme="minorHAnsi"/>
          <w:b/>
        </w:rPr>
        <w:t xml:space="preserve"> </w:t>
      </w:r>
      <w:r w:rsidRPr="00D30508">
        <w:rPr>
          <w:rFonts w:cstheme="minorHAnsi"/>
        </w:rPr>
        <w:t>in line with the</w:t>
      </w:r>
      <w:r w:rsidRPr="00D30508" w:rsidDel="00D505A5">
        <w:rPr>
          <w:rFonts w:cstheme="minorHAnsi"/>
        </w:rPr>
        <w:t xml:space="preserve"> </w:t>
      </w:r>
      <w:hyperlink r:id="rId52" w:history="1">
        <w:r>
          <w:rPr>
            <w:rFonts w:cstheme="minorHAnsi"/>
          </w:rPr>
          <w:t>grant agreement</w:t>
        </w:r>
      </w:hyperlink>
      <w:r w:rsidRPr="00D30508">
        <w:rPr>
          <w:rFonts w:cstheme="minorHAnsi"/>
        </w:rPr>
        <w:t xml:space="preserve"> We will expect you to report on:</w:t>
      </w:r>
    </w:p>
    <w:p w14:paraId="01DDDDD8" w14:textId="77777777" w:rsidR="007568B1" w:rsidRPr="00D30508" w:rsidRDefault="007568B1" w:rsidP="007568B1">
      <w:pPr>
        <w:numPr>
          <w:ilvl w:val="0"/>
          <w:numId w:val="7"/>
        </w:numPr>
        <w:spacing w:before="120"/>
        <w:rPr>
          <w:iCs/>
        </w:rPr>
      </w:pPr>
      <w:r w:rsidRPr="00D30508">
        <w:rPr>
          <w:iCs/>
        </w:rPr>
        <w:t xml:space="preserve">progress against agreed </w:t>
      </w:r>
      <w:r>
        <w:rPr>
          <w:iCs/>
        </w:rPr>
        <w:t>SETS activity</w:t>
      </w:r>
      <w:r w:rsidRPr="00D30508">
        <w:rPr>
          <w:iCs/>
        </w:rPr>
        <w:t xml:space="preserve"> milestones and outcomes</w:t>
      </w:r>
    </w:p>
    <w:p w14:paraId="3794649C" w14:textId="77777777" w:rsidR="007568B1" w:rsidRPr="00D30508" w:rsidRDefault="007568B1" w:rsidP="007568B1">
      <w:pPr>
        <w:numPr>
          <w:ilvl w:val="0"/>
          <w:numId w:val="7"/>
        </w:numPr>
        <w:spacing w:before="120"/>
        <w:rPr>
          <w:iCs/>
        </w:rPr>
      </w:pPr>
      <w:r w:rsidRPr="00D30508">
        <w:rPr>
          <w:iCs/>
        </w:rPr>
        <w:t>progress against agreed project milestones and deliverables</w:t>
      </w:r>
    </w:p>
    <w:p w14:paraId="52E496E8" w14:textId="77777777" w:rsidR="007568B1" w:rsidRPr="00D30508" w:rsidRDefault="007568B1" w:rsidP="007568B1">
      <w:pPr>
        <w:numPr>
          <w:ilvl w:val="0"/>
          <w:numId w:val="7"/>
        </w:numPr>
        <w:spacing w:before="120"/>
        <w:rPr>
          <w:iCs/>
        </w:rPr>
      </w:pPr>
      <w:r w:rsidRPr="00D30508">
        <w:rPr>
          <w:iCs/>
        </w:rPr>
        <w:t>contributions of participants directly related to the project</w:t>
      </w:r>
    </w:p>
    <w:p w14:paraId="267E11C8" w14:textId="77777777" w:rsidR="007568B1" w:rsidRPr="00D30508" w:rsidRDefault="007568B1" w:rsidP="007568B1">
      <w:pPr>
        <w:numPr>
          <w:ilvl w:val="0"/>
          <w:numId w:val="7"/>
        </w:numPr>
        <w:spacing w:before="120"/>
        <w:rPr>
          <w:iCs/>
        </w:rPr>
      </w:pPr>
      <w:r w:rsidRPr="00D30508">
        <w:rPr>
          <w:iCs/>
        </w:rPr>
        <w:t xml:space="preserve">eligible expenditure of </w:t>
      </w:r>
      <w:r>
        <w:rPr>
          <w:iCs/>
        </w:rPr>
        <w:t>grant</w:t>
      </w:r>
      <w:r w:rsidRPr="00D30508">
        <w:rPr>
          <w:iCs/>
        </w:rPr>
        <w:t xml:space="preserve"> funds.</w:t>
      </w:r>
    </w:p>
    <w:p w14:paraId="4D7CF4C8" w14:textId="77777777" w:rsidR="007568B1" w:rsidRPr="00D30508" w:rsidRDefault="007568B1" w:rsidP="007568B1">
      <w:pPr>
        <w:spacing w:before="120"/>
        <w:rPr>
          <w:rFonts w:cstheme="minorHAnsi"/>
        </w:rPr>
      </w:pPr>
      <w:r w:rsidRPr="00D30508">
        <w:rPr>
          <w:rFonts w:cstheme="minorHAnsi"/>
        </w:rPr>
        <w:t>You will also</w:t>
      </w:r>
      <w:r w:rsidRPr="00D30508">
        <w:rPr>
          <w:rFonts w:cstheme="minorHAnsi"/>
          <w:b/>
          <w:color w:val="4F6228" w:themeColor="accent3" w:themeShade="80"/>
        </w:rPr>
        <w:t xml:space="preserve"> </w:t>
      </w:r>
      <w:r w:rsidRPr="00D30508">
        <w:rPr>
          <w:rFonts w:cstheme="minorHAnsi"/>
        </w:rPr>
        <w:t>be responsible for:</w:t>
      </w:r>
    </w:p>
    <w:p w14:paraId="4DC76F4D" w14:textId="77777777" w:rsidR="007568B1" w:rsidRPr="00D30508" w:rsidRDefault="007568B1" w:rsidP="007568B1">
      <w:pPr>
        <w:numPr>
          <w:ilvl w:val="0"/>
          <w:numId w:val="7"/>
        </w:numPr>
        <w:spacing w:before="120"/>
        <w:rPr>
          <w:rFonts w:cstheme="minorBidi"/>
          <w:iCs/>
        </w:rPr>
      </w:pPr>
      <w:r w:rsidRPr="00D30508">
        <w:rPr>
          <w:iCs/>
        </w:rPr>
        <w:t xml:space="preserve">meeting the terms and conditions of the </w:t>
      </w:r>
      <w:r>
        <w:rPr>
          <w:iCs/>
        </w:rPr>
        <w:t>grant agreement</w:t>
      </w:r>
      <w:r w:rsidRPr="00D30508">
        <w:rPr>
          <w:iCs/>
        </w:rPr>
        <w:t xml:space="preserve"> and managing the activity efficiently and effectively</w:t>
      </w:r>
    </w:p>
    <w:p w14:paraId="7705C439" w14:textId="77777777" w:rsidR="007568B1" w:rsidRPr="00D30508" w:rsidRDefault="007568B1" w:rsidP="007568B1">
      <w:pPr>
        <w:numPr>
          <w:ilvl w:val="0"/>
          <w:numId w:val="7"/>
        </w:numPr>
        <w:spacing w:before="120"/>
        <w:rPr>
          <w:iCs/>
        </w:rPr>
      </w:pPr>
      <w:r w:rsidRPr="00D30508">
        <w:rPr>
          <w:iCs/>
        </w:rPr>
        <w:t xml:space="preserve">complying with record keeping, reporting and acquittal requirements as set out in the </w:t>
      </w:r>
      <w:r>
        <w:rPr>
          <w:iCs/>
        </w:rPr>
        <w:t>grant agreement</w:t>
      </w:r>
    </w:p>
    <w:p w14:paraId="3345A416" w14:textId="77777777" w:rsidR="007568B1" w:rsidRPr="00D30508" w:rsidRDefault="007568B1" w:rsidP="007568B1">
      <w:pPr>
        <w:numPr>
          <w:ilvl w:val="0"/>
          <w:numId w:val="7"/>
        </w:numPr>
        <w:spacing w:before="120"/>
        <w:rPr>
          <w:iCs/>
        </w:rPr>
      </w:pPr>
      <w:r w:rsidRPr="00D30508">
        <w:rPr>
          <w:iCs/>
        </w:rPr>
        <w:t xml:space="preserve">participating in a </w:t>
      </w:r>
      <w:r>
        <w:rPr>
          <w:iCs/>
        </w:rPr>
        <w:t>grant</w:t>
      </w:r>
      <w:r w:rsidRPr="00D30508">
        <w:rPr>
          <w:iCs/>
        </w:rPr>
        <w:t xml:space="preserve"> program evaluation as specified in the </w:t>
      </w:r>
      <w:r>
        <w:rPr>
          <w:iCs/>
        </w:rPr>
        <w:t>grant agreement</w:t>
      </w:r>
    </w:p>
    <w:p w14:paraId="11B4B0B1" w14:textId="77777777" w:rsidR="007568B1" w:rsidRPr="00D30508" w:rsidRDefault="007568B1" w:rsidP="007568B1">
      <w:pPr>
        <w:spacing w:before="120"/>
      </w:pPr>
      <w:r w:rsidRPr="00D30508">
        <w:t>Final reports must:</w:t>
      </w:r>
    </w:p>
    <w:p w14:paraId="5BEB41D4" w14:textId="77777777" w:rsidR="007568B1" w:rsidRPr="00D30508" w:rsidRDefault="007568B1" w:rsidP="007568B1">
      <w:pPr>
        <w:numPr>
          <w:ilvl w:val="0"/>
          <w:numId w:val="7"/>
        </w:numPr>
        <w:spacing w:before="120"/>
        <w:ind w:left="357" w:hanging="357"/>
        <w:rPr>
          <w:iCs/>
        </w:rPr>
      </w:pPr>
      <w:r w:rsidRPr="00D30508">
        <w:rPr>
          <w:iCs/>
        </w:rPr>
        <w:t>identify if and how outcomes have been achieved</w:t>
      </w:r>
    </w:p>
    <w:p w14:paraId="6B493F73" w14:textId="77777777" w:rsidR="007568B1" w:rsidRPr="00D30508" w:rsidRDefault="007568B1" w:rsidP="007568B1">
      <w:pPr>
        <w:numPr>
          <w:ilvl w:val="0"/>
          <w:numId w:val="7"/>
        </w:numPr>
        <w:spacing w:before="120"/>
        <w:ind w:left="357" w:hanging="357"/>
        <w:rPr>
          <w:iCs/>
        </w:rPr>
      </w:pPr>
      <w:r w:rsidRPr="00D30508">
        <w:rPr>
          <w:iCs/>
        </w:rPr>
        <w:t xml:space="preserve">include the agreed evidence as specified in the </w:t>
      </w:r>
      <w:r>
        <w:rPr>
          <w:iCs/>
        </w:rPr>
        <w:t>grant agreement</w:t>
      </w:r>
    </w:p>
    <w:p w14:paraId="74140C05" w14:textId="77777777" w:rsidR="007568B1" w:rsidRPr="00D30508" w:rsidRDefault="007568B1" w:rsidP="007568B1">
      <w:pPr>
        <w:numPr>
          <w:ilvl w:val="0"/>
          <w:numId w:val="7"/>
        </w:numPr>
        <w:spacing w:before="120"/>
        <w:ind w:left="357" w:hanging="357"/>
        <w:rPr>
          <w:iCs/>
        </w:rPr>
      </w:pPr>
      <w:r w:rsidRPr="00D30508">
        <w:rPr>
          <w:iCs/>
        </w:rPr>
        <w:t>identify the total eligible expenditure incurred</w:t>
      </w:r>
    </w:p>
    <w:p w14:paraId="401E15BA" w14:textId="77777777" w:rsidR="007568B1" w:rsidRPr="00D30508" w:rsidRDefault="007568B1" w:rsidP="007568B1">
      <w:pPr>
        <w:numPr>
          <w:ilvl w:val="0"/>
          <w:numId w:val="7"/>
        </w:numPr>
        <w:spacing w:before="120"/>
        <w:ind w:left="357" w:hanging="357"/>
        <w:rPr>
          <w:iCs/>
        </w:rPr>
      </w:pPr>
      <w:r w:rsidRPr="00D30508">
        <w:rPr>
          <w:iCs/>
        </w:rPr>
        <w:t xml:space="preserve">be submitted </w:t>
      </w:r>
      <w:r>
        <w:rPr>
          <w:iCs/>
        </w:rPr>
        <w:t>by the due date and</w:t>
      </w:r>
      <w:r w:rsidRPr="00D30508">
        <w:rPr>
          <w:iCs/>
        </w:rPr>
        <w:t xml:space="preserve"> in the format provided in the </w:t>
      </w:r>
      <w:r>
        <w:rPr>
          <w:iCs/>
        </w:rPr>
        <w:t>grant agreement</w:t>
      </w:r>
      <w:r w:rsidRPr="00D30508">
        <w:rPr>
          <w:iCs/>
        </w:rPr>
        <w:t>.</w:t>
      </w:r>
    </w:p>
    <w:p w14:paraId="5D34486D" w14:textId="77777777" w:rsidR="007568B1" w:rsidRPr="0052630B" w:rsidRDefault="007568B1" w:rsidP="007568B1">
      <w:pPr>
        <w:pStyle w:val="Heading3"/>
      </w:pPr>
      <w:bookmarkStart w:id="141" w:name="_Toc509572409"/>
      <w:bookmarkStart w:id="142" w:name="_Toc509572410"/>
      <w:bookmarkStart w:id="143" w:name="_Toc509572411"/>
      <w:bookmarkStart w:id="144" w:name="_Toc3559256"/>
      <w:bookmarkEnd w:id="139"/>
      <w:bookmarkEnd w:id="140"/>
      <w:bookmarkEnd w:id="141"/>
      <w:bookmarkEnd w:id="142"/>
      <w:bookmarkEnd w:id="143"/>
      <w:r w:rsidRPr="0052630B">
        <w:t>Financial declaration</w:t>
      </w:r>
      <w:bookmarkEnd w:id="144"/>
    </w:p>
    <w:p w14:paraId="39CB5EDB" w14:textId="77777777" w:rsidR="007568B1" w:rsidRDefault="007568B1" w:rsidP="007568B1">
      <w:pPr>
        <w:spacing w:before="120"/>
      </w:pPr>
      <w:r w:rsidRPr="00EE0C10">
        <w:t>We</w:t>
      </w:r>
      <w:r w:rsidRPr="00E96DD6">
        <w:rPr>
          <w:color w:val="0070C0"/>
        </w:rPr>
        <w:t xml:space="preserve"> </w:t>
      </w:r>
      <w:r w:rsidRPr="00E96DD6">
        <w:t>m</w:t>
      </w:r>
      <w:r>
        <w:t>ay ask you to provide a declaration that the grant money was spent in accordance with the grant agreement and to report on any underspends of the grant money.</w:t>
      </w:r>
    </w:p>
    <w:p w14:paraId="4A02C88E" w14:textId="77777777" w:rsidR="007568B1" w:rsidRPr="00F4677D" w:rsidRDefault="007568B1" w:rsidP="007568B1">
      <w:pPr>
        <w:pStyle w:val="Heading3"/>
      </w:pPr>
      <w:bookmarkStart w:id="145" w:name="_Toc3559257"/>
      <w:bookmarkStart w:id="146" w:name="_Toc468693659"/>
      <w:r>
        <w:lastRenderedPageBreak/>
        <w:t>Grant agreement</w:t>
      </w:r>
      <w:r w:rsidRPr="00F4677D">
        <w:t xml:space="preserve"> variations</w:t>
      </w:r>
      <w:bookmarkEnd w:id="145"/>
    </w:p>
    <w:p w14:paraId="67D4D6FC" w14:textId="77777777" w:rsidR="007568B1" w:rsidRPr="00D30508" w:rsidRDefault="007568B1" w:rsidP="007568B1">
      <w:pPr>
        <w:tabs>
          <w:tab w:val="left" w:pos="0"/>
        </w:tabs>
        <w:spacing w:before="120"/>
        <w:rPr>
          <w:bCs/>
          <w:lang w:eastAsia="en-AU"/>
        </w:rPr>
      </w:pPr>
      <w:r>
        <w:t>We</w:t>
      </w:r>
      <w:r>
        <w:rPr>
          <w:bCs/>
          <w:lang w:eastAsia="en-AU"/>
        </w:rPr>
        <w:t xml:space="preserve"> </w:t>
      </w:r>
      <w:r w:rsidRPr="00795673">
        <w:rPr>
          <w:bCs/>
          <w:lang w:eastAsia="en-AU"/>
        </w:rPr>
        <w:t xml:space="preserve">recognise that unexpected events may affect your progress. In these circumstances, you can request a variation to your </w:t>
      </w:r>
      <w:r>
        <w:rPr>
          <w:bCs/>
          <w:lang w:eastAsia="en-AU"/>
        </w:rPr>
        <w:t xml:space="preserve">grant agreement. You can request a variation by </w:t>
      </w:r>
      <w:r w:rsidRPr="00D30508">
        <w:rPr>
          <w:bCs/>
          <w:lang w:eastAsia="en-AU"/>
        </w:rPr>
        <w:t>contacting your Funding Arrangement Manager</w:t>
      </w:r>
      <w:r>
        <w:rPr>
          <w:bCs/>
          <w:lang w:eastAsia="en-AU"/>
        </w:rPr>
        <w:t xml:space="preserve"> in the</w:t>
      </w:r>
      <w:r w:rsidRPr="00D30508">
        <w:rPr>
          <w:bCs/>
          <w:lang w:eastAsia="en-AU"/>
        </w:rPr>
        <w:t xml:space="preserve"> Community </w:t>
      </w:r>
      <w:r>
        <w:rPr>
          <w:bCs/>
          <w:lang w:eastAsia="en-AU"/>
        </w:rPr>
        <w:t>Grant</w:t>
      </w:r>
      <w:r w:rsidRPr="00D30508">
        <w:rPr>
          <w:bCs/>
          <w:lang w:eastAsia="en-AU"/>
        </w:rPr>
        <w:t xml:space="preserve">s Hub. </w:t>
      </w:r>
    </w:p>
    <w:p w14:paraId="6B4874DC" w14:textId="77777777" w:rsidR="007568B1" w:rsidRDefault="007568B1" w:rsidP="007568B1">
      <w:pPr>
        <w:spacing w:before="120"/>
      </w:pPr>
      <w:r w:rsidRPr="00164671">
        <w:t xml:space="preserve">You should not assume that a variation request will be successful. </w:t>
      </w:r>
      <w:r>
        <w:t>We</w:t>
      </w:r>
      <w:r w:rsidRPr="00164671">
        <w:t xml:space="preserve"> will consider your request based on </w:t>
      </w:r>
      <w:r>
        <w:t>provisions in the grant agreement and the likely impact on achieving outcomes.</w:t>
      </w:r>
    </w:p>
    <w:p w14:paraId="55B80AAA" w14:textId="77777777" w:rsidR="007568B1" w:rsidRDefault="007568B1" w:rsidP="007568B1">
      <w:pPr>
        <w:pStyle w:val="Heading3"/>
      </w:pPr>
      <w:bookmarkStart w:id="147" w:name="_Toc3559258"/>
      <w:r>
        <w:t>Compliance visits</w:t>
      </w:r>
      <w:bookmarkEnd w:id="146"/>
      <w:bookmarkEnd w:id="147"/>
      <w:r>
        <w:t xml:space="preserve"> </w:t>
      </w:r>
    </w:p>
    <w:p w14:paraId="107E0795" w14:textId="77777777" w:rsidR="007568B1" w:rsidRPr="00E067F3" w:rsidRDefault="007568B1" w:rsidP="007568B1">
      <w:pPr>
        <w:spacing w:before="120"/>
      </w:pPr>
      <w:r>
        <w:t>We</w:t>
      </w:r>
      <w:r w:rsidRPr="00C6593B">
        <w:rPr>
          <w:color w:val="0070C0"/>
        </w:rPr>
        <w:t xml:space="preserve"> </w:t>
      </w:r>
      <w:r>
        <w:t>may visit you during or at the completion of your grant activity to review your compliance with the grant agreement. We will provide you with rea</w:t>
      </w:r>
      <w:r w:rsidRPr="00E067F3">
        <w:t>sonable notice of any compliance visit.</w:t>
      </w:r>
    </w:p>
    <w:p w14:paraId="4DF5A137" w14:textId="77777777" w:rsidR="007568B1" w:rsidRPr="00E067F3" w:rsidRDefault="007568B1" w:rsidP="007568B1">
      <w:pPr>
        <w:pStyle w:val="Heading3"/>
      </w:pPr>
      <w:bookmarkStart w:id="148" w:name="_Toc3559259"/>
      <w:r w:rsidRPr="00E067F3">
        <w:t>Record keeping</w:t>
      </w:r>
      <w:bookmarkEnd w:id="148"/>
    </w:p>
    <w:p w14:paraId="63369CC3" w14:textId="77777777" w:rsidR="007568B1" w:rsidRDefault="007568B1" w:rsidP="007568B1">
      <w:pPr>
        <w:spacing w:before="120"/>
      </w:pPr>
      <w:r>
        <w:t xml:space="preserve">We may also inspect the records you are required to keep under the grant agreement. </w:t>
      </w:r>
    </w:p>
    <w:p w14:paraId="4128C041" w14:textId="77777777" w:rsidR="007568B1" w:rsidRDefault="007568B1" w:rsidP="007568B1">
      <w:pPr>
        <w:pStyle w:val="Heading3"/>
      </w:pPr>
      <w:bookmarkStart w:id="149" w:name="_Toc3559260"/>
      <w:r>
        <w:t>Evaluation</w:t>
      </w:r>
      <w:bookmarkEnd w:id="149"/>
    </w:p>
    <w:p w14:paraId="5364482B" w14:textId="77777777" w:rsidR="007568B1" w:rsidRDefault="007568B1" w:rsidP="007568B1">
      <w:pPr>
        <w:spacing w:before="120"/>
      </w:pPr>
      <w:r>
        <w:t>We</w:t>
      </w:r>
      <w:r w:rsidRPr="00726710">
        <w:rPr>
          <w:color w:val="4F6228" w:themeColor="accent3" w:themeShade="80"/>
        </w:rPr>
        <w:t xml:space="preserve"> </w:t>
      </w:r>
      <w:r>
        <w:t xml:space="preserve">will </w:t>
      </w:r>
      <w:r w:rsidRPr="00B72EE8">
        <w:t>evaluat</w:t>
      </w:r>
      <w:r>
        <w:t>e</w:t>
      </w:r>
      <w:r w:rsidRPr="00B72EE8">
        <w:t xml:space="preserve"> </w:t>
      </w:r>
      <w:r w:rsidRPr="00726710">
        <w:t>the</w:t>
      </w:r>
      <w:r w:rsidRPr="00726710">
        <w:rPr>
          <w:color w:val="4F6228" w:themeColor="accent3" w:themeShade="80"/>
        </w:rPr>
        <w:t xml:space="preserve"> </w:t>
      </w:r>
      <w:r>
        <w:t>grant</w:t>
      </w:r>
      <w:r w:rsidRPr="00056158">
        <w:t xml:space="preserve"> </w:t>
      </w:r>
      <w:r w:rsidRPr="00D30508">
        <w:t>program</w:t>
      </w:r>
      <w:r w:rsidRPr="00115A51">
        <w:rPr>
          <w:b/>
          <w:color w:val="0070C0"/>
        </w:rPr>
        <w:t xml:space="preserve"> </w:t>
      </w:r>
      <w:r w:rsidRPr="00B72EE8">
        <w:t>to</w:t>
      </w:r>
      <w:r>
        <w:t xml:space="preserve"> see how well </w:t>
      </w:r>
      <w:r w:rsidRPr="00B72EE8">
        <w:t xml:space="preserve">the outcomes and objectives have been achieved. </w:t>
      </w:r>
      <w:r>
        <w:t>We may use information from your application and reports for this purpose. We may also ask you for more information to help us understand how the grant impacted you and to evaluate how effective the program was in achieving its outcomes.</w:t>
      </w:r>
    </w:p>
    <w:p w14:paraId="49316932" w14:textId="77777777" w:rsidR="007568B1" w:rsidRDefault="007568B1" w:rsidP="007568B1">
      <w:pPr>
        <w:pStyle w:val="Heading3"/>
      </w:pPr>
      <w:bookmarkStart w:id="150" w:name="_Toc3559261"/>
      <w:r>
        <w:t>Acknowledgement</w:t>
      </w:r>
      <w:bookmarkEnd w:id="150"/>
    </w:p>
    <w:p w14:paraId="079D7943" w14:textId="77777777" w:rsidR="007568B1" w:rsidRPr="00994007" w:rsidRDefault="007568B1" w:rsidP="007568B1">
      <w:r w:rsidRPr="00994007">
        <w:t xml:space="preserve">All publications related to </w:t>
      </w:r>
      <w:r>
        <w:t>grant</w:t>
      </w:r>
      <w:r w:rsidRPr="00994007">
        <w:t>s under the Program must acknowledge the Commonwealth as follows:</w:t>
      </w:r>
    </w:p>
    <w:p w14:paraId="3F41A780" w14:textId="77777777" w:rsidR="007568B1" w:rsidRDefault="007568B1" w:rsidP="007568B1">
      <w:pPr>
        <w:rPr>
          <w:color w:val="548235"/>
        </w:rPr>
      </w:pPr>
      <w:r w:rsidRPr="00994007">
        <w:t xml:space="preserve">‘This activity received </w:t>
      </w:r>
      <w:r>
        <w:t>grant</w:t>
      </w:r>
      <w:r w:rsidRPr="00994007">
        <w:t xml:space="preserve"> funding from the </w:t>
      </w:r>
      <w:r>
        <w:t>Australian Government.</w:t>
      </w:r>
    </w:p>
    <w:p w14:paraId="54C3C120" w14:textId="77777777" w:rsidR="007568B1" w:rsidRDefault="007568B1" w:rsidP="007568B1">
      <w:pPr>
        <w:pStyle w:val="Heading2"/>
      </w:pPr>
      <w:bookmarkStart w:id="151" w:name="_Toc3559262"/>
      <w:r>
        <w:t>Probity</w:t>
      </w:r>
      <w:bookmarkEnd w:id="151"/>
    </w:p>
    <w:p w14:paraId="74D4CA7A" w14:textId="2CEEA515" w:rsidR="007568B1" w:rsidRPr="00726710" w:rsidRDefault="007568B1" w:rsidP="007568B1">
      <w:pPr>
        <w:spacing w:before="120"/>
      </w:pPr>
      <w:r w:rsidRPr="00B72EE8">
        <w:t xml:space="preserve">The </w:t>
      </w:r>
      <w:r>
        <w:t>Australian Government</w:t>
      </w:r>
      <w:r w:rsidRPr="00B72EE8">
        <w:t xml:space="preserve"> </w:t>
      </w:r>
      <w:r>
        <w:t xml:space="preserve">will make sure that </w:t>
      </w:r>
      <w:r w:rsidRPr="00B72EE8">
        <w:t>the</w:t>
      </w:r>
      <w:r>
        <w:t xml:space="preserve"> grant opportunity </w:t>
      </w:r>
      <w:r w:rsidRPr="00B72EE8">
        <w:t>process is fai</w:t>
      </w:r>
      <w:r>
        <w:t xml:space="preserve">r, </w:t>
      </w:r>
      <w:r w:rsidRPr="00B72EE8">
        <w:t>accord</w:t>
      </w:r>
      <w:r>
        <w:t>ing to</w:t>
      </w:r>
      <w:r w:rsidRPr="00B72EE8">
        <w:t xml:space="preserve"> the </w:t>
      </w:r>
      <w:r w:rsidRPr="00726710">
        <w:t xml:space="preserve">published guidelines, incorporates appropriate safeguards against fraud, unlawful activities and other inappropriate conduct and is consistent with the </w:t>
      </w:r>
      <w:hyperlink r:id="rId53" w:history="1">
        <w:r w:rsidRPr="006D23C4">
          <w:rPr>
            <w:rStyle w:val="Hyperlink"/>
          </w:rPr>
          <w:t>CGRGs</w:t>
        </w:r>
      </w:hyperlink>
      <w:r w:rsidRPr="00726710">
        <w:t>.</w:t>
      </w:r>
    </w:p>
    <w:p w14:paraId="2268B311" w14:textId="77777777" w:rsidR="007568B1" w:rsidRPr="00122DEC" w:rsidRDefault="007568B1" w:rsidP="007568B1">
      <w:pPr>
        <w:spacing w:before="120"/>
      </w:pPr>
      <w:r w:rsidRPr="00726710">
        <w:t xml:space="preserve">These guidelines may be changed </w:t>
      </w:r>
      <w:r w:rsidRPr="00122DEC">
        <w:t>by</w:t>
      </w:r>
      <w:r w:rsidRPr="00516E21">
        <w:t xml:space="preserve"> </w:t>
      </w:r>
      <w:r>
        <w:t>the Department of Social Services</w:t>
      </w:r>
      <w:r>
        <w:rPr>
          <w:color w:val="0070C0"/>
        </w:rPr>
        <w:t xml:space="preserve">. </w:t>
      </w:r>
      <w:r w:rsidRPr="00122DEC">
        <w:t xml:space="preserve">When this happens, the revised guidelines </w:t>
      </w:r>
      <w:r>
        <w:t>are</w:t>
      </w:r>
      <w:r w:rsidRPr="00122DEC">
        <w:t xml:space="preserve"> published on </w:t>
      </w:r>
      <w:hyperlink r:id="rId54" w:history="1">
        <w:r>
          <w:rPr>
            <w:rStyle w:val="Hyperlink"/>
          </w:rPr>
          <w:t>Grant</w:t>
        </w:r>
        <w:r w:rsidRPr="00790775">
          <w:rPr>
            <w:rStyle w:val="Hyperlink"/>
          </w:rPr>
          <w:t>Connect</w:t>
        </w:r>
      </w:hyperlink>
      <w:r>
        <w:t xml:space="preserve"> and the </w:t>
      </w:r>
      <w:hyperlink r:id="rId55" w:history="1">
        <w:r w:rsidRPr="00790775">
          <w:rPr>
            <w:rStyle w:val="Hyperlink"/>
          </w:rPr>
          <w:t xml:space="preserve">Community </w:t>
        </w:r>
        <w:r>
          <w:rPr>
            <w:rStyle w:val="Hyperlink"/>
          </w:rPr>
          <w:t>Grant</w:t>
        </w:r>
        <w:r w:rsidRPr="00790775">
          <w:rPr>
            <w:rStyle w:val="Hyperlink"/>
          </w:rPr>
          <w:t>s Hub</w:t>
        </w:r>
      </w:hyperlink>
      <w:r>
        <w:t xml:space="preserve"> websites. </w:t>
      </w:r>
    </w:p>
    <w:p w14:paraId="25AA59AF" w14:textId="77777777" w:rsidR="007568B1" w:rsidRDefault="007568B1" w:rsidP="007568B1">
      <w:pPr>
        <w:pStyle w:val="Heading3"/>
      </w:pPr>
      <w:bookmarkStart w:id="152" w:name="_Toc3559263"/>
      <w:r>
        <w:t>Enquiries and feedback</w:t>
      </w:r>
      <w:bookmarkEnd w:id="152"/>
    </w:p>
    <w:p w14:paraId="133F657E" w14:textId="77777777" w:rsidR="007568B1" w:rsidRPr="00790775" w:rsidRDefault="007568B1" w:rsidP="007568B1">
      <w:pPr>
        <w:spacing w:before="120"/>
        <w:rPr>
          <w:b/>
        </w:rPr>
      </w:pPr>
      <w:r>
        <w:rPr>
          <w:b/>
        </w:rPr>
        <w:t>Complaints about this</w:t>
      </w:r>
      <w:r w:rsidRPr="00790775">
        <w:rPr>
          <w:b/>
        </w:rPr>
        <w:t xml:space="preserve"> </w:t>
      </w:r>
      <w:r>
        <w:rPr>
          <w:b/>
        </w:rPr>
        <w:t>grant</w:t>
      </w:r>
      <w:r w:rsidRPr="00790775">
        <w:rPr>
          <w:b/>
        </w:rPr>
        <w:t xml:space="preserve"> </w:t>
      </w:r>
      <w:r>
        <w:rPr>
          <w:b/>
        </w:rPr>
        <w:t>o</w:t>
      </w:r>
      <w:r w:rsidRPr="00790775">
        <w:rPr>
          <w:b/>
        </w:rPr>
        <w:t>pportunity</w:t>
      </w:r>
    </w:p>
    <w:p w14:paraId="0225613A" w14:textId="77777777" w:rsidR="007568B1" w:rsidRDefault="007568B1" w:rsidP="007568B1">
      <w:pPr>
        <w:spacing w:before="120"/>
      </w:pPr>
      <w:r w:rsidRPr="00122DEC">
        <w:t>The</w:t>
      </w:r>
      <w:r w:rsidRPr="00516E21">
        <w:t xml:space="preserve"> </w:t>
      </w:r>
      <w:r>
        <w:t xml:space="preserve">Department of Social </w:t>
      </w:r>
      <w:r w:rsidRPr="00125C48">
        <w:t xml:space="preserve">Services </w:t>
      </w:r>
      <w:hyperlink r:id="rId56" w:history="1">
        <w:r w:rsidRPr="00C96096">
          <w:rPr>
            <w:rStyle w:val="Hyperlink"/>
            <w:rFonts w:cstheme="minorBidi"/>
          </w:rPr>
          <w:t>Complaints Process</w:t>
        </w:r>
      </w:hyperlink>
      <w:r w:rsidRPr="00D03A3F">
        <w:rPr>
          <w:rStyle w:val="Hyperlink"/>
          <w:rFonts w:cstheme="minorBidi"/>
          <w:u w:val="none"/>
        </w:rPr>
        <w:t xml:space="preserve"> </w:t>
      </w:r>
      <w:r w:rsidRPr="00B72EE8">
        <w:t>appl</w:t>
      </w:r>
      <w:r>
        <w:t>ies</w:t>
      </w:r>
      <w:r w:rsidRPr="00B72EE8">
        <w:t xml:space="preserve"> to complaints </w:t>
      </w:r>
      <w:r>
        <w:t>about this grant opportunity.</w:t>
      </w:r>
      <w:r w:rsidRPr="009E25CE">
        <w:rPr>
          <w:b/>
        </w:rPr>
        <w:t xml:space="preserve"> </w:t>
      </w:r>
      <w:r>
        <w:t>A</w:t>
      </w:r>
      <w:r w:rsidRPr="00B72EE8">
        <w:t xml:space="preserve">ll complaints </w:t>
      </w:r>
      <w:r>
        <w:t>about</w:t>
      </w:r>
      <w:r w:rsidRPr="00B72EE8">
        <w:t xml:space="preserve"> </w:t>
      </w:r>
      <w:r>
        <w:t>this grant opportunity, including grant decisions,</w:t>
      </w:r>
      <w:r w:rsidRPr="00B72EE8">
        <w:t xml:space="preserve"> </w:t>
      </w:r>
      <w:r>
        <w:t xml:space="preserve">must </w:t>
      </w:r>
      <w:r w:rsidRPr="00B72EE8">
        <w:t>be</w:t>
      </w:r>
      <w:r>
        <w:t xml:space="preserve"> made</w:t>
      </w:r>
      <w:r w:rsidRPr="00B72EE8">
        <w:t xml:space="preserve"> in writing.</w:t>
      </w:r>
    </w:p>
    <w:p w14:paraId="6F0FA85D" w14:textId="77777777" w:rsidR="007568B1" w:rsidRDefault="007568B1" w:rsidP="007568B1">
      <w:pPr>
        <w:spacing w:before="120"/>
        <w:rPr>
          <w:u w:val="single" w:color="0070C0"/>
        </w:rPr>
      </w:pPr>
      <w:r>
        <w:t xml:space="preserve">Any questions you have about grant decisions for this grant opportunity should be sent </w:t>
      </w:r>
      <w:hyperlink r:id="rId57" w:history="1">
        <w:r w:rsidRPr="00F575CA">
          <w:rPr>
            <w:rStyle w:val="Hyperlink"/>
            <w:u w:color="0070C0"/>
          </w:rPr>
          <w:t>support@community</w:t>
        </w:r>
        <w:r>
          <w:rPr>
            <w:rStyle w:val="Hyperlink"/>
            <w:u w:color="0070C0"/>
          </w:rPr>
          <w:t>grant</w:t>
        </w:r>
        <w:r w:rsidRPr="00F575CA">
          <w:rPr>
            <w:rStyle w:val="Hyperlink"/>
            <w:u w:color="0070C0"/>
          </w:rPr>
          <w:t>s.gov.au</w:t>
        </w:r>
      </w:hyperlink>
    </w:p>
    <w:p w14:paraId="46BADDC4" w14:textId="77777777" w:rsidR="007568B1" w:rsidRPr="00790775" w:rsidRDefault="007568B1" w:rsidP="007568B1">
      <w:pPr>
        <w:spacing w:before="120"/>
        <w:rPr>
          <w:b/>
        </w:rPr>
      </w:pPr>
      <w:r w:rsidRPr="00790775">
        <w:rPr>
          <w:b/>
        </w:rPr>
        <w:t xml:space="preserve">Complaints about the </w:t>
      </w:r>
      <w:r>
        <w:rPr>
          <w:b/>
        </w:rPr>
        <w:t>s</w:t>
      </w:r>
      <w:r w:rsidRPr="00790775">
        <w:rPr>
          <w:b/>
        </w:rPr>
        <w:t xml:space="preserve">election </w:t>
      </w:r>
      <w:r>
        <w:rPr>
          <w:b/>
        </w:rPr>
        <w:t>p</w:t>
      </w:r>
      <w:r w:rsidRPr="00790775">
        <w:rPr>
          <w:b/>
        </w:rPr>
        <w:t xml:space="preserve">rocess </w:t>
      </w:r>
    </w:p>
    <w:p w14:paraId="09DA7ADA" w14:textId="77777777" w:rsidR="007568B1" w:rsidRDefault="007568B1" w:rsidP="007568B1">
      <w:pPr>
        <w:spacing w:before="120"/>
      </w:pPr>
      <w:r>
        <w:t xml:space="preserve">Applicants can contact the complaints service with complaints about the Community Grants Hub’s service(s) or the selection process. </w:t>
      </w:r>
    </w:p>
    <w:p w14:paraId="1DA7BE16" w14:textId="77777777" w:rsidR="007568B1" w:rsidRDefault="007568B1" w:rsidP="007568B1">
      <w:pPr>
        <w:spacing w:before="120"/>
      </w:pPr>
      <w:r>
        <w:t>Details of what makes an eligible complaint can be provided by asking the Community Grants Hub. Applicants can use the complaints form on the Department of Social Services website, by phone or mail.</w:t>
      </w:r>
    </w:p>
    <w:p w14:paraId="47341102" w14:textId="77777777" w:rsidR="007568B1" w:rsidRDefault="007568B1" w:rsidP="007568B1">
      <w:r>
        <w:lastRenderedPageBreak/>
        <w:t>Phone:</w:t>
      </w:r>
      <w:r>
        <w:tab/>
        <w:t>1800 634 035</w:t>
      </w:r>
    </w:p>
    <w:p w14:paraId="337D4A5A" w14:textId="77777777" w:rsidR="007568B1" w:rsidRDefault="007568B1" w:rsidP="007568B1">
      <w:pPr>
        <w:spacing w:after="40" w:line="240" w:lineRule="auto"/>
      </w:pPr>
      <w:r>
        <w:t>Mail:</w:t>
      </w:r>
      <w:r>
        <w:tab/>
        <w:t xml:space="preserve">Complaints </w:t>
      </w:r>
    </w:p>
    <w:p w14:paraId="689A2341" w14:textId="77777777" w:rsidR="007568B1" w:rsidRDefault="007568B1" w:rsidP="007568B1">
      <w:pPr>
        <w:spacing w:after="40" w:line="240" w:lineRule="auto"/>
      </w:pPr>
      <w:r>
        <w:tab/>
        <w:t>GPO Box 9820</w:t>
      </w:r>
    </w:p>
    <w:p w14:paraId="7C47562B" w14:textId="77777777" w:rsidR="007568B1" w:rsidRDefault="007568B1" w:rsidP="007568B1">
      <w:pPr>
        <w:spacing w:after="40" w:line="240" w:lineRule="auto"/>
      </w:pPr>
      <w:r>
        <w:tab/>
        <w:t>Canberra ACT 2601</w:t>
      </w:r>
    </w:p>
    <w:p w14:paraId="57C19C7E" w14:textId="77777777" w:rsidR="007568B1" w:rsidRPr="00790775" w:rsidRDefault="007568B1" w:rsidP="007568B1">
      <w:pPr>
        <w:spacing w:before="120"/>
        <w:rPr>
          <w:b/>
        </w:rPr>
      </w:pPr>
      <w:r w:rsidRPr="00790775">
        <w:rPr>
          <w:b/>
        </w:rPr>
        <w:t>Complaints to the Ombudsman</w:t>
      </w:r>
    </w:p>
    <w:p w14:paraId="399D64C4" w14:textId="77777777" w:rsidR="007568B1" w:rsidRPr="00122DEC" w:rsidRDefault="007568B1" w:rsidP="007568B1">
      <w:pPr>
        <w:spacing w:before="120"/>
      </w:pPr>
      <w:r w:rsidRPr="00122DEC">
        <w:t>If you do not agree with the way the</w:t>
      </w:r>
      <w:r>
        <w:t xml:space="preserve"> Community Grants Hub</w:t>
      </w:r>
      <w:r w:rsidRPr="00F1475D">
        <w:t xml:space="preserve"> </w:t>
      </w:r>
      <w:r w:rsidRPr="00122DEC">
        <w:t xml:space="preserve">has handled your complaint, </w:t>
      </w:r>
      <w:r w:rsidRPr="00F1475D">
        <w:t xml:space="preserve">you may complain to the </w:t>
      </w:r>
      <w:hyperlink r:id="rId58" w:history="1">
        <w:r w:rsidRPr="00132512">
          <w:rPr>
            <w:rStyle w:val="Hyperlink"/>
          </w:rPr>
          <w:t>Commonwealth Ombudsman</w:t>
        </w:r>
      </w:hyperlink>
      <w:r w:rsidRPr="00F1475D">
        <w:t>. The Ombudsman will not usually look into a complaint unless the matter has first been raised directly with the</w:t>
      </w:r>
      <w:r w:rsidRPr="00516E21">
        <w:t xml:space="preserve"> </w:t>
      </w:r>
      <w:r>
        <w:t>Community Grants Hub.</w:t>
      </w:r>
    </w:p>
    <w:p w14:paraId="662F889F" w14:textId="77777777" w:rsidR="007568B1" w:rsidRDefault="007568B1" w:rsidP="007568B1">
      <w:pPr>
        <w:spacing w:before="120"/>
        <w:ind w:left="5040" w:hanging="5040"/>
      </w:pPr>
      <w:r w:rsidRPr="00B72EE8">
        <w:t xml:space="preserve">The Commonwealth Ombudsman can be contacted on: </w:t>
      </w:r>
    </w:p>
    <w:p w14:paraId="4899184C" w14:textId="77777777" w:rsidR="007568B1" w:rsidRPr="00B72EE8" w:rsidRDefault="007568B1" w:rsidP="007568B1">
      <w:pPr>
        <w:ind w:left="1276" w:hanging="1276"/>
      </w:pPr>
      <w:r w:rsidRPr="00B72EE8">
        <w:tab/>
        <w:t>Phone (Toll free): 1300 362 072</w:t>
      </w:r>
      <w:r w:rsidRPr="00B72EE8">
        <w:br/>
        <w:t xml:space="preserve">Email: </w:t>
      </w:r>
      <w:hyperlink r:id="rId59" w:history="1">
        <w:r w:rsidRPr="00B72EE8">
          <w:t>ombudsman@ombudsman.gov.au</w:t>
        </w:r>
      </w:hyperlink>
      <w:r w:rsidRPr="00B72EE8">
        <w:t xml:space="preserve"> </w:t>
      </w:r>
      <w:r w:rsidRPr="00B72EE8">
        <w:br/>
        <w:t xml:space="preserve">Website: </w:t>
      </w:r>
      <w:hyperlink r:id="rId60" w:history="1">
        <w:r w:rsidRPr="00B72EE8">
          <w:t>www.ombudsman.gov.au</w:t>
        </w:r>
      </w:hyperlink>
    </w:p>
    <w:p w14:paraId="344601F6" w14:textId="77777777" w:rsidR="007568B1" w:rsidRPr="00A04CCA" w:rsidRDefault="007568B1" w:rsidP="007568B1">
      <w:pPr>
        <w:pStyle w:val="Heading3"/>
      </w:pPr>
      <w:bookmarkStart w:id="153" w:name="_Toc3559264"/>
      <w:r w:rsidRPr="00A04CCA">
        <w:t>Conflicts of interest</w:t>
      </w:r>
      <w:bookmarkEnd w:id="153"/>
    </w:p>
    <w:p w14:paraId="7CC618D9" w14:textId="77777777" w:rsidR="007568B1" w:rsidRPr="00F1475D" w:rsidRDefault="007568B1" w:rsidP="007568B1">
      <w:pPr>
        <w:spacing w:before="120"/>
      </w:pPr>
      <w:r w:rsidRPr="00122DEC">
        <w:t xml:space="preserve">Any conflicts of interest could affect the performance of the </w:t>
      </w:r>
      <w:r>
        <w:t>grant opportunity or program</w:t>
      </w:r>
      <w:r w:rsidRPr="00122DEC">
        <w:t xml:space="preserve">. There may be a </w:t>
      </w:r>
      <w:hyperlink r:id="rId61" w:history="1">
        <w:r w:rsidRPr="00122DEC">
          <w:t>conflict of interest</w:t>
        </w:r>
      </w:hyperlink>
      <w:r w:rsidRPr="00122DEC">
        <w:t>, or perceived conflict of interest, if</w:t>
      </w:r>
      <w:r w:rsidRPr="00F1475D">
        <w:t xml:space="preserve"> </w:t>
      </w:r>
      <w:r w:rsidRPr="00D30508">
        <w:t xml:space="preserve">Department of Social Services and the Community </w:t>
      </w:r>
      <w:r>
        <w:t>Grant</w:t>
      </w:r>
      <w:r w:rsidRPr="00D30508">
        <w:t xml:space="preserve">s Hub staff, any member of a committee or advisor and/or you </w:t>
      </w:r>
      <w:r w:rsidRPr="00E96DD6">
        <w:t xml:space="preserve">or any of </w:t>
      </w:r>
      <w:r w:rsidRPr="00F1475D">
        <w:t>your personnel</w:t>
      </w:r>
      <w:r>
        <w:t xml:space="preserve"> has a</w:t>
      </w:r>
      <w:r w:rsidRPr="00F1475D">
        <w:t>:</w:t>
      </w:r>
    </w:p>
    <w:p w14:paraId="56B43EE8" w14:textId="0C9200E8" w:rsidR="007568B1" w:rsidRPr="00A04CCA" w:rsidRDefault="007568B1" w:rsidP="007568B1">
      <w:pPr>
        <w:pStyle w:val="ListBullet"/>
        <w:spacing w:before="120" w:after="120"/>
        <w:rPr>
          <w:color w:val="0070C0"/>
        </w:rPr>
      </w:pPr>
      <w:r w:rsidRPr="00F1475D">
        <w:t xml:space="preserve"> professional, commercial or personal relationship with a party who is able to influence the application selection process, such as an </w:t>
      </w:r>
      <w:r>
        <w:t>Australian Government</w:t>
      </w:r>
      <w:r w:rsidRPr="00F1475D">
        <w:t xml:space="preserve"> officer</w:t>
      </w:r>
    </w:p>
    <w:p w14:paraId="5BDE30B5" w14:textId="0B559AAB" w:rsidR="007568B1" w:rsidRPr="00F1475D" w:rsidRDefault="007568B1" w:rsidP="007568B1">
      <w:pPr>
        <w:pStyle w:val="ListBullet"/>
        <w:spacing w:before="120" w:after="120"/>
      </w:pPr>
      <w:r w:rsidRPr="00F1475D">
        <w:t xml:space="preserve">relationship with </w:t>
      </w:r>
      <w:r>
        <w:t>or interest in</w:t>
      </w:r>
      <w:r w:rsidRPr="00F1475D">
        <w:t>, an organisation, which is likely to interfere with or restrict the applicants from carrying out the proposed acti</w:t>
      </w:r>
      <w:r>
        <w:t>vit</w:t>
      </w:r>
      <w:r w:rsidR="007877B3">
        <w:t>ies fairly and independently</w:t>
      </w:r>
    </w:p>
    <w:p w14:paraId="75FF7534" w14:textId="77777777" w:rsidR="007568B1" w:rsidRPr="00F1475D" w:rsidRDefault="007568B1" w:rsidP="007568B1">
      <w:pPr>
        <w:pStyle w:val="ListBullet"/>
        <w:spacing w:before="120" w:after="120"/>
      </w:pPr>
      <w:r w:rsidRPr="00F1475D">
        <w:t xml:space="preserve">relationship with, or interest in, an organisation from which they will receive personal gain because the organisation receives </w:t>
      </w:r>
      <w:r>
        <w:t>a grant under the grant program/grant opportunity</w:t>
      </w:r>
      <w:r w:rsidRPr="00F1475D">
        <w:t>.</w:t>
      </w:r>
    </w:p>
    <w:p w14:paraId="644049D8" w14:textId="77777777" w:rsidR="007568B1" w:rsidRPr="00F1475D" w:rsidRDefault="007568B1" w:rsidP="007568B1">
      <w:pPr>
        <w:spacing w:before="120"/>
      </w:pPr>
      <w:r w:rsidRPr="00F1475D">
        <w:t>You will be asked to declare, as part of your application, any perceived or existing conflicts of interests or that, to the best of your knowledge, there is no conflict of interest.</w:t>
      </w:r>
    </w:p>
    <w:p w14:paraId="115DCA59" w14:textId="77777777" w:rsidR="007568B1" w:rsidRDefault="007568B1" w:rsidP="007568B1">
      <w:pPr>
        <w:spacing w:before="120"/>
      </w:pPr>
      <w:r w:rsidRPr="00F1475D">
        <w:t xml:space="preserve">If later </w:t>
      </w:r>
      <w:r>
        <w:t>you think there is</w:t>
      </w:r>
      <w:r w:rsidRPr="00F1475D">
        <w:t xml:space="preserve"> an actual, apparent, or </w:t>
      </w:r>
      <w:r>
        <w:t xml:space="preserve">perceived </w:t>
      </w:r>
      <w:r w:rsidRPr="00F1475D">
        <w:t>conflict of interest, you must inform the</w:t>
      </w:r>
      <w:r w:rsidRPr="00516E21">
        <w:t xml:space="preserve"> </w:t>
      </w:r>
      <w:r>
        <w:t xml:space="preserve">Department of Social Services and the Community Grants Hub </w:t>
      </w:r>
      <w:r w:rsidRPr="00B72EE8">
        <w:t xml:space="preserve">in writing immediately. </w:t>
      </w:r>
    </w:p>
    <w:p w14:paraId="56287ADE" w14:textId="77777777" w:rsidR="007568B1" w:rsidRDefault="007568B1" w:rsidP="007568B1">
      <w:pPr>
        <w:spacing w:before="120"/>
      </w:pPr>
      <w:r w:rsidRPr="00B72EE8">
        <w:t xml:space="preserve">Conflicts of interest for </w:t>
      </w:r>
      <w:r>
        <w:t xml:space="preserve">Australian Government </w:t>
      </w:r>
      <w:r w:rsidRPr="00B72EE8">
        <w:t xml:space="preserve">staff will be handled </w:t>
      </w:r>
      <w:r>
        <w:t xml:space="preserve">as set out in </w:t>
      </w:r>
      <w:r w:rsidRPr="00B72EE8">
        <w:t xml:space="preserve">the </w:t>
      </w:r>
      <w:r>
        <w:t xml:space="preserve">Australian </w:t>
      </w:r>
      <w:hyperlink r:id="rId62" w:history="1">
        <w:r w:rsidRPr="009C7586">
          <w:rPr>
            <w:rStyle w:val="Hyperlink"/>
          </w:rPr>
          <w:t>Public Service Code of Conduct (Section 13(7))</w:t>
        </w:r>
      </w:hyperlink>
      <w:r>
        <w:t xml:space="preserve"> of the </w:t>
      </w:r>
      <w:hyperlink r:id="rId63" w:history="1">
        <w:r w:rsidRPr="00132512">
          <w:rPr>
            <w:rStyle w:val="Hyperlink"/>
            <w:i/>
          </w:rPr>
          <w:t>Public Service Act 1999</w:t>
        </w:r>
      </w:hyperlink>
      <w:r>
        <w:t>. Committee members and other officials including the decision maker must also declare any conflicts of interest.</w:t>
      </w:r>
    </w:p>
    <w:p w14:paraId="69FE7BE0" w14:textId="77777777" w:rsidR="007568B1" w:rsidRPr="00B72EE8" w:rsidRDefault="007568B1" w:rsidP="007568B1">
      <w:pPr>
        <w:spacing w:before="120"/>
      </w:pPr>
      <w:r w:rsidRPr="00470E18">
        <w:t>We publish our conflict of interest policy</w:t>
      </w:r>
      <w:r>
        <w:t xml:space="preserve"> on the</w:t>
      </w:r>
      <w:r w:rsidRPr="00726710">
        <w:rPr>
          <w:b/>
          <w:color w:val="4F6228" w:themeColor="accent3" w:themeShade="80"/>
        </w:rPr>
        <w:t xml:space="preserve"> </w:t>
      </w:r>
      <w:hyperlink r:id="rId64" w:history="1">
        <w:r w:rsidRPr="00EE0C10">
          <w:rPr>
            <w:rStyle w:val="Hyperlink"/>
          </w:rPr>
          <w:t xml:space="preserve">Community </w:t>
        </w:r>
        <w:r>
          <w:rPr>
            <w:rStyle w:val="Hyperlink"/>
          </w:rPr>
          <w:t>Grant</w:t>
        </w:r>
        <w:r w:rsidRPr="00EE0C10">
          <w:rPr>
            <w:rStyle w:val="Hyperlink"/>
          </w:rPr>
          <w:t>s Hub</w:t>
        </w:r>
      </w:hyperlink>
      <w:r w:rsidRPr="00EE0C10">
        <w:rPr>
          <w:color w:val="4F6228" w:themeColor="accent3" w:themeShade="80"/>
        </w:rPr>
        <w:t xml:space="preserve"> </w:t>
      </w:r>
      <w:r w:rsidRPr="00122DEC">
        <w:t>website</w:t>
      </w:r>
      <w:r>
        <w:t xml:space="preserve">. </w:t>
      </w:r>
    </w:p>
    <w:p w14:paraId="62E3296C" w14:textId="77777777" w:rsidR="007568B1" w:rsidRDefault="007568B1" w:rsidP="007568B1">
      <w:pPr>
        <w:pStyle w:val="Heading3"/>
      </w:pPr>
      <w:bookmarkStart w:id="154" w:name="_Toc3559265"/>
      <w:r>
        <w:t>Privacy</w:t>
      </w:r>
      <w:bookmarkEnd w:id="154"/>
    </w:p>
    <w:p w14:paraId="3FB90766" w14:textId="77777777" w:rsidR="007568B1" w:rsidRPr="008A7B28" w:rsidRDefault="007568B1" w:rsidP="007568B1">
      <w:pPr>
        <w:spacing w:before="120"/>
        <w:rPr>
          <w:rFonts w:cs="Arial"/>
        </w:rPr>
      </w:pPr>
      <w:r w:rsidRPr="008A7B28">
        <w:rPr>
          <w:rFonts w:cs="Arial"/>
        </w:rPr>
        <w:t xml:space="preserve">We treat your personal information according to the </w:t>
      </w:r>
      <w:hyperlink r:id="rId65" w:history="1">
        <w:r w:rsidRPr="008A7B28">
          <w:rPr>
            <w:rStyle w:val="Hyperlink"/>
            <w:rFonts w:cs="Arial"/>
            <w:i/>
            <w:iCs/>
          </w:rPr>
          <w:t>Privacy Act 1988</w:t>
        </w:r>
      </w:hyperlink>
      <w:r w:rsidRPr="008A7B28">
        <w:rPr>
          <w:rFonts w:cs="Arial"/>
          <w:i/>
          <w:iCs/>
        </w:rPr>
        <w:t xml:space="preserve"> </w:t>
      </w:r>
      <w:r w:rsidRPr="008A7B28">
        <w:rPr>
          <w:rFonts w:cs="Arial"/>
        </w:rPr>
        <w:t>and the</w:t>
      </w:r>
      <w:r w:rsidRPr="008A7B28">
        <w:rPr>
          <w:rFonts w:cs="Arial"/>
          <w:i/>
          <w:iCs/>
        </w:rPr>
        <w:t xml:space="preserve"> </w:t>
      </w:r>
      <w:hyperlink r:id="rId66" w:history="1">
        <w:r w:rsidRPr="008A7B28">
          <w:rPr>
            <w:rStyle w:val="Hyperlink"/>
            <w:rFonts w:cs="Arial"/>
          </w:rPr>
          <w:t>Australian Privacy Principles</w:t>
        </w:r>
      </w:hyperlink>
      <w:r w:rsidRPr="008A7B28">
        <w:rPr>
          <w:rFonts w:cs="Arial"/>
        </w:rPr>
        <w:t xml:space="preserve">. This includes letting you know: </w:t>
      </w:r>
    </w:p>
    <w:p w14:paraId="385DB4DD" w14:textId="54D7D3C9" w:rsidR="007568B1" w:rsidRDefault="007568B1" w:rsidP="00C342EE">
      <w:pPr>
        <w:pStyle w:val="ListBullet"/>
        <w:numPr>
          <w:ilvl w:val="0"/>
          <w:numId w:val="38"/>
        </w:numPr>
        <w:spacing w:before="120" w:after="120"/>
      </w:pPr>
      <w:r w:rsidRPr="008A7B28">
        <w:t xml:space="preserve">what </w:t>
      </w:r>
      <w:r w:rsidR="007877B3">
        <w:t>personal information we collect</w:t>
      </w:r>
    </w:p>
    <w:p w14:paraId="7DF04FD5" w14:textId="5FF273E2" w:rsidR="007568B1" w:rsidRDefault="007568B1" w:rsidP="00C342EE">
      <w:pPr>
        <w:pStyle w:val="ListBullet"/>
        <w:numPr>
          <w:ilvl w:val="0"/>
          <w:numId w:val="38"/>
        </w:numPr>
        <w:spacing w:before="120" w:after="120"/>
      </w:pPr>
      <w:r w:rsidRPr="008A7B28">
        <w:t>why we collec</w:t>
      </w:r>
      <w:r w:rsidR="007877B3">
        <w:t>t your personal information</w:t>
      </w:r>
    </w:p>
    <w:p w14:paraId="07339E83" w14:textId="77777777" w:rsidR="007568B1" w:rsidRPr="008A7B28" w:rsidRDefault="007568B1" w:rsidP="00C342EE">
      <w:pPr>
        <w:pStyle w:val="ListBullet"/>
        <w:numPr>
          <w:ilvl w:val="0"/>
          <w:numId w:val="38"/>
        </w:numPr>
        <w:spacing w:before="120" w:after="120"/>
      </w:pPr>
      <w:r w:rsidRPr="008A7B28">
        <w:t>who we give your personal information to.</w:t>
      </w:r>
    </w:p>
    <w:p w14:paraId="6254AC14" w14:textId="77777777" w:rsidR="007568B1" w:rsidRPr="008A7B28" w:rsidRDefault="007568B1" w:rsidP="007568B1">
      <w:pPr>
        <w:spacing w:before="120"/>
        <w:rPr>
          <w:rFonts w:cs="Arial"/>
        </w:rPr>
      </w:pPr>
      <w:r w:rsidRPr="008A7B28">
        <w:rPr>
          <w:rFonts w:cs="Arial"/>
        </w:rPr>
        <w:t>In submitting a grant application under this opportunity, you agree to the Australian Government collecting your personal information, including your name, contact details and role in your organisation, in order to assess your application and for the purpose of grants administration. If you do not provide this information we cannot assess your grant application.</w:t>
      </w:r>
    </w:p>
    <w:p w14:paraId="655A66B6" w14:textId="77777777" w:rsidR="007568B1" w:rsidRPr="008A7B28" w:rsidRDefault="007568B1" w:rsidP="007568B1">
      <w:pPr>
        <w:spacing w:before="120"/>
        <w:rPr>
          <w:rFonts w:cs="Arial"/>
        </w:rPr>
      </w:pPr>
      <w:r w:rsidRPr="008A7B28">
        <w:rPr>
          <w:rFonts w:cs="Arial"/>
        </w:rPr>
        <w:lastRenderedPageBreak/>
        <w:t xml:space="preserve">The Australian Government may also use and disclose information collected about you under this grant opportunity in any other Australian Government business or function. This includes disclosing grant information on </w:t>
      </w:r>
      <w:hyperlink r:id="rId67" w:history="1">
        <w:r>
          <w:rPr>
            <w:rStyle w:val="Hyperlink"/>
          </w:rPr>
          <w:t>Grant</w:t>
        </w:r>
        <w:r w:rsidRPr="00452C26">
          <w:rPr>
            <w:rStyle w:val="Hyperlink"/>
          </w:rPr>
          <w:t>Connect</w:t>
        </w:r>
      </w:hyperlink>
      <w:r w:rsidRPr="009E283B">
        <w:t xml:space="preserve"> </w:t>
      </w:r>
      <w:r w:rsidRPr="008A7B28">
        <w:rPr>
          <w:rFonts w:cs="Arial"/>
        </w:rPr>
        <w:t>as required for reporting purposes and giving information to the Australian Taxation Office for compliance purposes.</w:t>
      </w:r>
    </w:p>
    <w:p w14:paraId="58234016" w14:textId="77777777" w:rsidR="007568B1" w:rsidRPr="008A7B28" w:rsidRDefault="007568B1" w:rsidP="007568B1">
      <w:pPr>
        <w:spacing w:before="120"/>
        <w:rPr>
          <w:rFonts w:cs="Arial"/>
        </w:rPr>
      </w:pPr>
      <w:r w:rsidRPr="008A7B28">
        <w:rPr>
          <w:rFonts w:cs="Arial"/>
        </w:rPr>
        <w:t xml:space="preserve">We may share the information you give us in your application, including personal information, with other Commonwealth entities, the responsible Minister, Assistant Ministers and their staff, and with Members of Parliament, for other purposes including government administration, research or service delivery, or as otherwise authorised or required by Australian law. </w:t>
      </w:r>
    </w:p>
    <w:p w14:paraId="5B5E8261" w14:textId="77777777" w:rsidR="007568B1" w:rsidRPr="008A7B28" w:rsidRDefault="007568B1" w:rsidP="007568B1">
      <w:pPr>
        <w:spacing w:before="120"/>
        <w:rPr>
          <w:rFonts w:cs="Arial"/>
        </w:rPr>
      </w:pPr>
      <w:r w:rsidRPr="008A7B28">
        <w:rPr>
          <w:rFonts w:cs="Arial"/>
        </w:rPr>
        <w:t xml:space="preserve">As part of your application, you also declare your ability to comply with the </w:t>
      </w:r>
      <w:r w:rsidRPr="008A7B28">
        <w:rPr>
          <w:rFonts w:cs="Arial"/>
          <w:i/>
          <w:iCs/>
        </w:rPr>
        <w:t>Privacy Act 1988</w:t>
      </w:r>
      <w:r w:rsidRPr="008A7B28">
        <w:rPr>
          <w:rFonts w:cs="Arial"/>
        </w:rPr>
        <w:t xml:space="preserve"> and the Australian Privacy Principles and impose the same privacy obligations on officers, employees, agents and subcontractors that you engage to assist with the activity, in respect of personal information you collect, use, store, or disclose in connection with the activity. Accordingly, you must not do anything, which if done by the Australian Government would breach an Australian Privacy </w:t>
      </w:r>
      <w:r>
        <w:rPr>
          <w:rFonts w:cs="Arial"/>
        </w:rPr>
        <w:t>Principle as defined in the Act.</w:t>
      </w:r>
    </w:p>
    <w:p w14:paraId="53BC9CC7" w14:textId="77777777" w:rsidR="007568B1" w:rsidRDefault="007568B1" w:rsidP="007568B1">
      <w:pPr>
        <w:pStyle w:val="Heading3"/>
      </w:pPr>
      <w:bookmarkStart w:id="155" w:name="_Toc3559266"/>
      <w:r>
        <w:t>Confidential Information</w:t>
      </w:r>
      <w:bookmarkEnd w:id="155"/>
    </w:p>
    <w:p w14:paraId="05D75A75" w14:textId="77777777" w:rsidR="007568B1" w:rsidRPr="00E96DD6" w:rsidRDefault="007568B1" w:rsidP="007568B1">
      <w:pPr>
        <w:spacing w:before="120"/>
        <w:rPr>
          <w:lang w:eastAsia="en-AU"/>
        </w:rPr>
      </w:pPr>
      <w:r>
        <w:rPr>
          <w:lang w:eastAsia="en-AU"/>
        </w:rPr>
        <w:t xml:space="preserve">Other than information available in the public domain, you agree not to give out to any person, other than us, any confidential information relating to the grant application and/or agreement, without our prior written approval. The obligation will not be breached where you are required by law, Parliament or a stock exchange to disclose the relevant information or where the relevant information is publicly available (other than through breach of a confidentiality or non-disclosure </w:t>
      </w:r>
      <w:r w:rsidRPr="00E96DD6">
        <w:rPr>
          <w:lang w:eastAsia="en-AU"/>
        </w:rPr>
        <w:t>obligation).</w:t>
      </w:r>
    </w:p>
    <w:p w14:paraId="31B5FE04" w14:textId="77777777" w:rsidR="007568B1" w:rsidRPr="00E96DD6" w:rsidRDefault="007568B1" w:rsidP="007568B1">
      <w:pPr>
        <w:spacing w:before="120"/>
        <w:rPr>
          <w:lang w:eastAsia="en-AU"/>
        </w:rPr>
      </w:pPr>
      <w:r w:rsidRPr="00EE0C10">
        <w:rPr>
          <w:lang w:eastAsia="en-AU"/>
        </w:rPr>
        <w:t>We</w:t>
      </w:r>
      <w:r w:rsidRPr="00E96DD6">
        <w:rPr>
          <w:lang w:eastAsia="en-AU"/>
        </w:rPr>
        <w:t xml:space="preserve"> may at any time, require you to arrange for you; or your employees, agents or subcontractors to give a written undertaking relating to nondisclosure of our confidential information in a form we consider acceptable. </w:t>
      </w:r>
    </w:p>
    <w:p w14:paraId="2DDEAC2E" w14:textId="77777777" w:rsidR="007568B1" w:rsidRPr="00E96DD6" w:rsidRDefault="007568B1" w:rsidP="007568B1">
      <w:pPr>
        <w:spacing w:before="120"/>
        <w:rPr>
          <w:lang w:eastAsia="en-AU"/>
        </w:rPr>
      </w:pPr>
      <w:r w:rsidRPr="00EE0C10">
        <w:rPr>
          <w:lang w:eastAsia="en-AU"/>
        </w:rPr>
        <w:t>We</w:t>
      </w:r>
      <w:r w:rsidRPr="00E96DD6">
        <w:rPr>
          <w:lang w:eastAsia="en-AU"/>
        </w:rPr>
        <w:t xml:space="preserve"> will keep any information in connection with the </w:t>
      </w:r>
      <w:r>
        <w:rPr>
          <w:lang w:eastAsia="en-AU"/>
        </w:rPr>
        <w:t>grant agreement</w:t>
      </w:r>
      <w:r w:rsidRPr="00E96DD6">
        <w:rPr>
          <w:lang w:eastAsia="en-AU"/>
        </w:rPr>
        <w:t xml:space="preserve"> confidential to the extent that it meets all of the three conditions below:</w:t>
      </w:r>
    </w:p>
    <w:p w14:paraId="52803A8D" w14:textId="77777777" w:rsidR="007568B1" w:rsidRPr="00E96DD6" w:rsidRDefault="007568B1" w:rsidP="00C342EE">
      <w:pPr>
        <w:pStyle w:val="ListNumber"/>
        <w:numPr>
          <w:ilvl w:val="0"/>
          <w:numId w:val="15"/>
        </w:numPr>
        <w:spacing w:before="120"/>
        <w:ind w:left="714"/>
      </w:pPr>
      <w:r>
        <w:t>y</w:t>
      </w:r>
      <w:r w:rsidRPr="00E96DD6">
        <w:t>ou clearly identify the information as confidential and explain why we should treat it as confidential</w:t>
      </w:r>
    </w:p>
    <w:p w14:paraId="1C5304E6" w14:textId="77777777" w:rsidR="007568B1" w:rsidRPr="00E96DD6" w:rsidRDefault="007568B1" w:rsidP="007568B1">
      <w:pPr>
        <w:pStyle w:val="ListNumber"/>
        <w:spacing w:before="120"/>
        <w:ind w:left="714"/>
      </w:pPr>
      <w:r>
        <w:t>t</w:t>
      </w:r>
      <w:r w:rsidRPr="00E96DD6">
        <w:t>he information is commercially sensitive</w:t>
      </w:r>
    </w:p>
    <w:p w14:paraId="37EF9E95" w14:textId="77777777" w:rsidR="007568B1" w:rsidRPr="00E96DD6" w:rsidRDefault="007568B1" w:rsidP="007568B1">
      <w:pPr>
        <w:pStyle w:val="ListNumber"/>
        <w:spacing w:before="120"/>
        <w:ind w:left="714"/>
      </w:pPr>
      <w:r>
        <w:t>r</w:t>
      </w:r>
      <w:r w:rsidRPr="00E96DD6">
        <w:t>evealing the information would cause unreasonable harm to you or someone else.</w:t>
      </w:r>
    </w:p>
    <w:p w14:paraId="7EA3885A" w14:textId="77777777" w:rsidR="007568B1" w:rsidRPr="00E96DD6" w:rsidRDefault="007568B1" w:rsidP="007568B1">
      <w:pPr>
        <w:spacing w:before="120"/>
        <w:rPr>
          <w:lang w:eastAsia="en-AU"/>
        </w:rPr>
      </w:pPr>
      <w:r w:rsidRPr="00EE0C10">
        <w:rPr>
          <w:lang w:eastAsia="en-AU"/>
        </w:rPr>
        <w:t>We</w:t>
      </w:r>
      <w:r w:rsidRPr="00E96DD6">
        <w:rPr>
          <w:lang w:eastAsia="en-AU"/>
        </w:rPr>
        <w:t xml:space="preserve"> will not be in breach of any confidentiality </w:t>
      </w:r>
      <w:r>
        <w:rPr>
          <w:lang w:eastAsia="en-AU"/>
        </w:rPr>
        <w:t>agreement</w:t>
      </w:r>
      <w:r w:rsidRPr="00E96DD6">
        <w:rPr>
          <w:lang w:eastAsia="en-AU"/>
        </w:rPr>
        <w:t xml:space="preserve"> if the information is disclosed to: </w:t>
      </w:r>
    </w:p>
    <w:p w14:paraId="62B2D6CF" w14:textId="2A35993C" w:rsidR="007568B1" w:rsidRPr="00E96DD6" w:rsidRDefault="007568B1" w:rsidP="007568B1">
      <w:pPr>
        <w:pStyle w:val="ListBullet"/>
        <w:spacing w:before="120" w:after="120"/>
      </w:pPr>
      <w:r w:rsidRPr="00E96DD6">
        <w:t>Commonwealth employees and contractors to help us manage the program effectively</w:t>
      </w:r>
    </w:p>
    <w:p w14:paraId="01E7B59E" w14:textId="1AF65120" w:rsidR="007568B1" w:rsidRDefault="007568B1" w:rsidP="007568B1">
      <w:pPr>
        <w:pStyle w:val="ListBullet"/>
        <w:spacing w:before="120" w:after="120"/>
      </w:pPr>
      <w:r w:rsidRPr="0033741C">
        <w:t xml:space="preserve">employees and contractors of </w:t>
      </w:r>
      <w:r>
        <w:t>our</w:t>
      </w:r>
      <w:r w:rsidRPr="0033741C">
        <w:t xml:space="preserve"> </w:t>
      </w:r>
      <w:r>
        <w:t>d</w:t>
      </w:r>
      <w:r w:rsidRPr="0033741C">
        <w:t xml:space="preserve">epartment </w:t>
      </w:r>
      <w:r>
        <w:t xml:space="preserve">so we can </w:t>
      </w:r>
      <w:r w:rsidRPr="0033741C">
        <w:t xml:space="preserve">research, </w:t>
      </w:r>
      <w:r>
        <w:t>assess</w:t>
      </w:r>
      <w:r w:rsidRPr="0033741C">
        <w:t>, monitor and</w:t>
      </w:r>
      <w:r w:rsidRPr="00763129">
        <w:t xml:space="preserve"> analyse</w:t>
      </w:r>
      <w:r w:rsidRPr="0033741C">
        <w:t xml:space="preserve"> </w:t>
      </w:r>
      <w:r>
        <w:t>our</w:t>
      </w:r>
      <w:r w:rsidRPr="0033741C">
        <w:t xml:space="preserve"> programs and activities</w:t>
      </w:r>
    </w:p>
    <w:p w14:paraId="312F2FE3" w14:textId="41628F3A" w:rsidR="007568B1" w:rsidRDefault="007568B1" w:rsidP="007568B1">
      <w:pPr>
        <w:pStyle w:val="ListBullet"/>
        <w:spacing w:before="120" w:after="120"/>
      </w:pPr>
      <w:r>
        <w:t>employees and contractors of other Commonwealth agencies for any purposes, including Government administratio</w:t>
      </w:r>
      <w:r w:rsidR="0087683E">
        <w:t>n, research or service delivery</w:t>
      </w:r>
    </w:p>
    <w:p w14:paraId="7A4CE7DD" w14:textId="5587FC48" w:rsidR="007568B1" w:rsidRPr="0033741C" w:rsidRDefault="007568B1" w:rsidP="007568B1">
      <w:pPr>
        <w:pStyle w:val="ListBullet"/>
        <w:spacing w:before="120" w:after="120"/>
      </w:pPr>
      <w:r>
        <w:t>other Commonwealth, state, territory or local Government agencies in program reports</w:t>
      </w:r>
      <w:r w:rsidR="0087683E">
        <w:t xml:space="preserve"> and consultations</w:t>
      </w:r>
    </w:p>
    <w:p w14:paraId="7367F64E" w14:textId="1460A801" w:rsidR="007568B1" w:rsidRPr="0033741C" w:rsidRDefault="007568B1" w:rsidP="007568B1">
      <w:pPr>
        <w:pStyle w:val="ListBullet"/>
        <w:spacing w:before="120" w:after="120"/>
      </w:pPr>
      <w:r w:rsidRPr="0033741C">
        <w:t>the Auditor-General, Ombudsman or Privacy Commissioner</w:t>
      </w:r>
    </w:p>
    <w:p w14:paraId="7660F343" w14:textId="077FB3F9" w:rsidR="007568B1" w:rsidRPr="00BA6D16" w:rsidRDefault="007568B1" w:rsidP="007568B1">
      <w:pPr>
        <w:pStyle w:val="ListBullet"/>
        <w:spacing w:before="120" w:after="120"/>
      </w:pPr>
      <w:r w:rsidRPr="00BA6D16">
        <w:t>the responsible Minister or Parliamentary Secretary</w:t>
      </w:r>
    </w:p>
    <w:p w14:paraId="006144F5" w14:textId="77777777" w:rsidR="007568B1" w:rsidRPr="0033741C" w:rsidRDefault="007568B1" w:rsidP="007568B1">
      <w:pPr>
        <w:pStyle w:val="ListBullet"/>
        <w:spacing w:before="120" w:after="120"/>
      </w:pPr>
      <w:r w:rsidRPr="0033741C">
        <w:t xml:space="preserve">a House or a Committee of the </w:t>
      </w:r>
      <w:r>
        <w:t xml:space="preserve">Australian </w:t>
      </w:r>
      <w:r w:rsidRPr="0033741C">
        <w:t>Parliament</w:t>
      </w:r>
      <w:r>
        <w:t>.</w:t>
      </w:r>
    </w:p>
    <w:p w14:paraId="2E9F28F9" w14:textId="77777777" w:rsidR="007568B1" w:rsidRPr="00E86A67" w:rsidRDefault="007568B1" w:rsidP="007568B1">
      <w:pPr>
        <w:spacing w:before="120"/>
      </w:pPr>
      <w:r w:rsidRPr="00E86A67">
        <w:t xml:space="preserve">The </w:t>
      </w:r>
      <w:r>
        <w:t>grant agreement</w:t>
      </w:r>
      <w:r w:rsidRPr="00E86A67">
        <w:t xml:space="preserve"> </w:t>
      </w:r>
      <w:r>
        <w:t>may also</w:t>
      </w:r>
      <w:r w:rsidRPr="00E86A67">
        <w:t xml:space="preserve"> include any specific requirements about special categories of information collected, created or held under the </w:t>
      </w:r>
      <w:r>
        <w:t>grant agreement</w:t>
      </w:r>
      <w:r w:rsidRPr="00E86A67">
        <w:t xml:space="preserve">. </w:t>
      </w:r>
    </w:p>
    <w:p w14:paraId="2AF39441" w14:textId="77777777" w:rsidR="007568B1" w:rsidRDefault="007568B1" w:rsidP="007568B1">
      <w:pPr>
        <w:pStyle w:val="Heading3"/>
      </w:pPr>
      <w:bookmarkStart w:id="156" w:name="_Toc3559267"/>
      <w:r>
        <w:lastRenderedPageBreak/>
        <w:t>Freedom of information</w:t>
      </w:r>
      <w:bookmarkEnd w:id="156"/>
    </w:p>
    <w:p w14:paraId="5D8B4187" w14:textId="77777777" w:rsidR="007568B1" w:rsidRPr="00B72EE8" w:rsidRDefault="007568B1" w:rsidP="007568B1">
      <w:pPr>
        <w:spacing w:before="120"/>
      </w:pPr>
      <w:r w:rsidRPr="00B72EE8">
        <w:t xml:space="preserve">All documents </w:t>
      </w:r>
      <w:r>
        <w:t>that the</w:t>
      </w:r>
      <w:r w:rsidRPr="00B72EE8">
        <w:t xml:space="preserve"> </w:t>
      </w:r>
      <w:r>
        <w:t>Australian Government has</w:t>
      </w:r>
      <w:r w:rsidRPr="00781E9D">
        <w:t xml:space="preserve">, including those </w:t>
      </w:r>
      <w:r>
        <w:t>about this grant opportunity</w:t>
      </w:r>
      <w:r w:rsidRPr="00B72EE8">
        <w:t xml:space="preserve">, are subject to the </w:t>
      </w:r>
      <w:hyperlink r:id="rId68" w:history="1">
        <w:r w:rsidRPr="00443FC0">
          <w:rPr>
            <w:rStyle w:val="Hyperlink"/>
            <w:i/>
          </w:rPr>
          <w:t>Freedom of Information Act 1982</w:t>
        </w:r>
      </w:hyperlink>
      <w:r w:rsidRPr="00B72EE8">
        <w:t xml:space="preserve"> </w:t>
      </w:r>
      <w:r w:rsidRPr="0049044C">
        <w:t>(FOI Act)</w:t>
      </w:r>
      <w:r w:rsidRPr="00333BAC">
        <w:rPr>
          <w:i/>
        </w:rPr>
        <w:t>.</w:t>
      </w:r>
    </w:p>
    <w:p w14:paraId="425DAF8F" w14:textId="77777777" w:rsidR="007568B1" w:rsidRPr="00B72EE8" w:rsidRDefault="007568B1" w:rsidP="007568B1">
      <w:pPr>
        <w:spacing w:before="120"/>
      </w:pPr>
      <w:r w:rsidRPr="00B72EE8">
        <w:t>The purpose of the FOI Act give</w:t>
      </w:r>
      <w:r>
        <w:t>s</w:t>
      </w:r>
      <w:r w:rsidRPr="00B72EE8">
        <w:t xml:space="preserve"> </w:t>
      </w:r>
      <w:r>
        <w:t>people the ability to get</w:t>
      </w:r>
      <w:r w:rsidRPr="00B72EE8">
        <w:t xml:space="preserve"> information held by the </w:t>
      </w:r>
      <w:r>
        <w:t>Australian Government</w:t>
      </w:r>
      <w:r w:rsidRPr="00B72EE8">
        <w:t xml:space="preserve"> and its </w:t>
      </w:r>
      <w:r>
        <w:t>organisations</w:t>
      </w:r>
      <w:r w:rsidRPr="00B72EE8">
        <w:t xml:space="preserve">. Under the FOI Act, </w:t>
      </w:r>
      <w:r>
        <w:t>people can ask for</w:t>
      </w:r>
      <w:r w:rsidRPr="00B72EE8">
        <w:t xml:space="preserve"> documents the </w:t>
      </w:r>
      <w:r>
        <w:t>Australian Government has</w:t>
      </w:r>
      <w:r w:rsidRPr="00B72EE8">
        <w:t>.</w:t>
      </w:r>
      <w:r>
        <w:t xml:space="preserve"> People may not be able to get these documents if these documents need</w:t>
      </w:r>
      <w:r w:rsidRPr="00B72EE8">
        <w:t xml:space="preserve"> to protect essential public interests and private and business affairs of persons </w:t>
      </w:r>
      <w:r>
        <w:t>who</w:t>
      </w:r>
      <w:r w:rsidRPr="00B72EE8">
        <w:t xml:space="preserve"> the information relates</w:t>
      </w:r>
      <w:r>
        <w:t xml:space="preserve"> to</w:t>
      </w:r>
      <w:r w:rsidRPr="00B72EE8">
        <w:t>.</w:t>
      </w:r>
    </w:p>
    <w:p w14:paraId="1F24E0C9" w14:textId="77777777" w:rsidR="007568B1" w:rsidRPr="00B72EE8" w:rsidRDefault="007568B1" w:rsidP="007568B1">
      <w:pPr>
        <w:spacing w:before="120"/>
      </w:pPr>
      <w:r w:rsidRPr="00B72EE8">
        <w:t>All F</w:t>
      </w:r>
      <w:r>
        <w:t xml:space="preserve">reedom of Information </w:t>
      </w:r>
      <w:r w:rsidRPr="00B72EE8">
        <w:t>requests must be referred to the Freedom of Information Coordinator in writing.</w:t>
      </w:r>
    </w:p>
    <w:p w14:paraId="64D03EB5" w14:textId="77777777" w:rsidR="007568B1" w:rsidRPr="00B72EE8" w:rsidRDefault="007568B1" w:rsidP="007568B1">
      <w:pPr>
        <w:tabs>
          <w:tab w:val="left" w:pos="1418"/>
        </w:tabs>
        <w:spacing w:after="40"/>
        <w:ind w:left="1418" w:hanging="1418"/>
      </w:pPr>
      <w:r w:rsidRPr="00B72EE8">
        <w:t>By mail:</w:t>
      </w:r>
      <w:r w:rsidRPr="00B72EE8">
        <w:tab/>
        <w:t xml:space="preserve">Freedom of Information </w:t>
      </w:r>
      <w:r>
        <w:t>Team</w:t>
      </w:r>
    </w:p>
    <w:p w14:paraId="24028EBB" w14:textId="77777777" w:rsidR="007568B1" w:rsidRDefault="007568B1" w:rsidP="007568B1">
      <w:pPr>
        <w:tabs>
          <w:tab w:val="left" w:pos="1418"/>
        </w:tabs>
        <w:spacing w:after="40" w:line="240" w:lineRule="auto"/>
        <w:ind w:left="2836" w:hanging="1418"/>
      </w:pPr>
      <w:r>
        <w:t xml:space="preserve">Government and Executive Services Branch </w:t>
      </w:r>
    </w:p>
    <w:p w14:paraId="112A61C5" w14:textId="77777777" w:rsidR="007568B1" w:rsidRDefault="007568B1" w:rsidP="007568B1">
      <w:pPr>
        <w:tabs>
          <w:tab w:val="left" w:pos="1418"/>
        </w:tabs>
        <w:spacing w:after="40" w:line="240" w:lineRule="auto"/>
        <w:ind w:left="2836" w:hanging="1418"/>
      </w:pPr>
      <w:r>
        <w:t>Department of Social Services (DSS)</w:t>
      </w:r>
    </w:p>
    <w:p w14:paraId="21F58122" w14:textId="77777777" w:rsidR="007568B1" w:rsidRDefault="007568B1" w:rsidP="007568B1">
      <w:pPr>
        <w:tabs>
          <w:tab w:val="left" w:pos="1418"/>
        </w:tabs>
        <w:spacing w:after="40" w:line="240" w:lineRule="auto"/>
        <w:ind w:left="2836" w:hanging="1418"/>
      </w:pPr>
      <w:r>
        <w:t>GPO Box 9820</w:t>
      </w:r>
    </w:p>
    <w:p w14:paraId="6267C287" w14:textId="77777777" w:rsidR="007568B1" w:rsidRPr="00516E21" w:rsidRDefault="007568B1" w:rsidP="007568B1">
      <w:pPr>
        <w:tabs>
          <w:tab w:val="left" w:pos="1418"/>
        </w:tabs>
        <w:spacing w:after="40" w:line="240" w:lineRule="auto"/>
        <w:ind w:left="2836" w:hanging="1418"/>
      </w:pPr>
      <w:r>
        <w:t>Canberra ACT 2601</w:t>
      </w:r>
    </w:p>
    <w:p w14:paraId="419E9254" w14:textId="77777777" w:rsidR="007568B1" w:rsidRDefault="007568B1" w:rsidP="007568B1">
      <w:r w:rsidRPr="00122DEC">
        <w:t>By email:</w:t>
      </w:r>
      <w:r w:rsidRPr="00122DEC">
        <w:tab/>
      </w:r>
      <w:hyperlink r:id="rId69" w:history="1">
        <w:r w:rsidRPr="00C42A3F">
          <w:rPr>
            <w:rStyle w:val="Hyperlink"/>
          </w:rPr>
          <w:t>foi@dss.gov.au</w:t>
        </w:r>
      </w:hyperlink>
      <w:r>
        <w:t xml:space="preserve"> </w:t>
      </w:r>
    </w:p>
    <w:p w14:paraId="7B607FD2" w14:textId="77777777" w:rsidR="007568B1" w:rsidRDefault="007568B1" w:rsidP="007568B1">
      <w:pPr>
        <w:spacing w:before="0" w:after="0" w:line="240" w:lineRule="auto"/>
      </w:pPr>
      <w:r>
        <w:br w:type="page"/>
      </w:r>
    </w:p>
    <w:p w14:paraId="40149D4A" w14:textId="77777777" w:rsidR="007568B1" w:rsidRPr="00122DEC" w:rsidRDefault="007568B1" w:rsidP="007568B1"/>
    <w:p w14:paraId="71E2FF6A" w14:textId="77777777" w:rsidR="007568B1" w:rsidRPr="007B576A" w:rsidRDefault="007568B1" w:rsidP="007568B1">
      <w:pPr>
        <w:pStyle w:val="Heading2"/>
      </w:pPr>
      <w:bookmarkStart w:id="157" w:name="_Toc3559268"/>
      <w:bookmarkEnd w:id="132"/>
      <w:r w:rsidRPr="002D2607">
        <w:t>Glossary</w:t>
      </w:r>
      <w:bookmarkEnd w:id="157"/>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7568B1" w:rsidRPr="009E3949" w14:paraId="5CDD335D" w14:textId="77777777" w:rsidTr="007877B3">
        <w:trPr>
          <w:cantSplit/>
          <w:tblHeader/>
        </w:trPr>
        <w:tc>
          <w:tcPr>
            <w:tcW w:w="1843" w:type="pct"/>
            <w:shd w:val="clear" w:color="auto" w:fill="264F90"/>
          </w:tcPr>
          <w:p w14:paraId="2C6D760D" w14:textId="77777777" w:rsidR="007568B1" w:rsidRPr="004D41A5" w:rsidRDefault="007568B1" w:rsidP="007877B3">
            <w:pPr>
              <w:pStyle w:val="TableHeadingNumbered"/>
            </w:pPr>
            <w:r w:rsidRPr="004D41A5">
              <w:t>Term</w:t>
            </w:r>
          </w:p>
        </w:tc>
        <w:tc>
          <w:tcPr>
            <w:tcW w:w="3157" w:type="pct"/>
            <w:shd w:val="clear" w:color="auto" w:fill="264F90"/>
          </w:tcPr>
          <w:p w14:paraId="7E56A3F7" w14:textId="77777777" w:rsidR="007568B1" w:rsidRPr="004D41A5" w:rsidRDefault="007568B1" w:rsidP="007877B3">
            <w:pPr>
              <w:pStyle w:val="TableHeadingNumbered"/>
            </w:pPr>
            <w:r w:rsidRPr="004D41A5">
              <w:t>Definition</w:t>
            </w:r>
          </w:p>
        </w:tc>
      </w:tr>
      <w:tr w:rsidR="007568B1" w:rsidRPr="00274AE2" w14:paraId="52F84992" w14:textId="77777777" w:rsidTr="007877B3">
        <w:trPr>
          <w:cantSplit/>
        </w:trPr>
        <w:tc>
          <w:tcPr>
            <w:tcW w:w="1843" w:type="pct"/>
          </w:tcPr>
          <w:p w14:paraId="2D0861B6" w14:textId="77777777" w:rsidR="007568B1" w:rsidRPr="00274AE2" w:rsidRDefault="007568B1" w:rsidP="007877B3">
            <w:r w:rsidRPr="00274AE2">
              <w:t>accountable authority</w:t>
            </w:r>
          </w:p>
        </w:tc>
        <w:tc>
          <w:tcPr>
            <w:tcW w:w="3157" w:type="pct"/>
          </w:tcPr>
          <w:p w14:paraId="35993E50" w14:textId="77777777" w:rsidR="007568B1" w:rsidRPr="00274AE2" w:rsidRDefault="007568B1" w:rsidP="007877B3">
            <w:pPr>
              <w:rPr>
                <w:rFonts w:cs="Arial"/>
                <w:lang w:eastAsia="en-AU"/>
              </w:rPr>
            </w:pPr>
            <w:r>
              <w:rPr>
                <w:rFonts w:cs="Arial"/>
                <w:lang w:eastAsia="en-AU"/>
              </w:rPr>
              <w:t>s</w:t>
            </w:r>
            <w:r w:rsidRPr="00A77F5D">
              <w:rPr>
                <w:rFonts w:cs="Arial"/>
                <w:lang w:eastAsia="en-AU"/>
              </w:rPr>
              <w:t xml:space="preserve">ee subsection 12(2) of the </w:t>
            </w:r>
            <w:hyperlink r:id="rId70" w:history="1">
              <w:r w:rsidRPr="00676247">
                <w:rPr>
                  <w:rStyle w:val="Hyperlink"/>
                  <w:i/>
                </w:rPr>
                <w:t>Public Governance, Performance and Accountability Act 2013</w:t>
              </w:r>
            </w:hyperlink>
            <w:r>
              <w:rPr>
                <w:rStyle w:val="Hyperlink"/>
                <w:i/>
              </w:rPr>
              <w:t>.</w:t>
            </w:r>
          </w:p>
        </w:tc>
      </w:tr>
      <w:tr w:rsidR="007568B1" w:rsidRPr="00274AE2" w14:paraId="1117AFCD" w14:textId="77777777" w:rsidTr="007877B3">
        <w:trPr>
          <w:cantSplit/>
        </w:trPr>
        <w:tc>
          <w:tcPr>
            <w:tcW w:w="1843" w:type="pct"/>
          </w:tcPr>
          <w:p w14:paraId="1A2B3CF5" w14:textId="77777777" w:rsidR="007568B1" w:rsidRPr="00274AE2" w:rsidRDefault="007568B1" w:rsidP="007877B3">
            <w:r>
              <w:t>a</w:t>
            </w:r>
            <w:r w:rsidRPr="00274AE2">
              <w:t>dministering entity</w:t>
            </w:r>
          </w:p>
        </w:tc>
        <w:tc>
          <w:tcPr>
            <w:tcW w:w="3157" w:type="pct"/>
          </w:tcPr>
          <w:p w14:paraId="07CE5175" w14:textId="77777777" w:rsidR="007568B1" w:rsidRPr="00274AE2" w:rsidRDefault="007568B1" w:rsidP="007877B3">
            <w:pPr>
              <w:rPr>
                <w:rFonts w:cs="Arial"/>
                <w:lang w:eastAsia="en-AU"/>
              </w:rPr>
            </w:pPr>
            <w:r>
              <w:rPr>
                <w:rFonts w:cs="Arial"/>
                <w:lang w:eastAsia="en-AU"/>
              </w:rPr>
              <w:t>w</w:t>
            </w:r>
            <w:r w:rsidRPr="00274AE2">
              <w:rPr>
                <w:rFonts w:cs="Arial"/>
                <w:lang w:eastAsia="en-AU"/>
              </w:rPr>
              <w:t xml:space="preserve">hen an entity that is not responsible for the policy, is responsible for the administration of part or all of the </w:t>
            </w:r>
            <w:r>
              <w:rPr>
                <w:rFonts w:cs="Arial"/>
                <w:lang w:eastAsia="en-AU"/>
              </w:rPr>
              <w:t>grant</w:t>
            </w:r>
            <w:r w:rsidRPr="00274AE2">
              <w:rPr>
                <w:rFonts w:cs="Arial"/>
                <w:lang w:eastAsia="en-AU"/>
              </w:rPr>
              <w:t xml:space="preserve"> administration processes</w:t>
            </w:r>
            <w:r>
              <w:rPr>
                <w:rFonts w:cs="Arial"/>
                <w:lang w:eastAsia="en-AU"/>
              </w:rPr>
              <w:t>.</w:t>
            </w:r>
          </w:p>
        </w:tc>
      </w:tr>
      <w:tr w:rsidR="007568B1" w:rsidRPr="009E3949" w14:paraId="5EA922F4" w14:textId="77777777" w:rsidTr="007877B3">
        <w:trPr>
          <w:cantSplit/>
        </w:trPr>
        <w:tc>
          <w:tcPr>
            <w:tcW w:w="1843" w:type="pct"/>
          </w:tcPr>
          <w:p w14:paraId="54C00B16" w14:textId="77777777" w:rsidR="007568B1" w:rsidRDefault="007568B1" w:rsidP="007877B3">
            <w:r w:rsidRPr="001B21A4">
              <w:t>assessment criteria</w:t>
            </w:r>
          </w:p>
        </w:tc>
        <w:tc>
          <w:tcPr>
            <w:tcW w:w="3157" w:type="pct"/>
          </w:tcPr>
          <w:p w14:paraId="66762CFF" w14:textId="77777777" w:rsidR="007568B1" w:rsidRPr="006C4678" w:rsidRDefault="007568B1" w:rsidP="007877B3">
            <w:r>
              <w:rPr>
                <w:rFonts w:cs="Arial"/>
                <w:lang w:eastAsia="en-AU"/>
              </w:rPr>
              <w:t>a</w:t>
            </w:r>
            <w:r w:rsidRPr="00932BB0">
              <w:rPr>
                <w:rFonts w:cs="Arial"/>
                <w:lang w:eastAsia="en-AU"/>
              </w:rPr>
              <w:t xml:space="preserve">re the specified principles or standards, against which applications will be judged. These criteria are also used to assess the merits of proposals and, in the case of a competitive </w:t>
            </w:r>
            <w:r>
              <w:rPr>
                <w:rFonts w:cs="Arial"/>
                <w:lang w:eastAsia="en-AU"/>
              </w:rPr>
              <w:t>grant</w:t>
            </w:r>
            <w:r w:rsidRPr="00932BB0">
              <w:rPr>
                <w:rFonts w:cs="Arial"/>
                <w:lang w:eastAsia="en-AU"/>
              </w:rPr>
              <w:t xml:space="preserve"> opportunity, to determine application rankings</w:t>
            </w:r>
            <w:r>
              <w:rPr>
                <w:rFonts w:cs="Arial"/>
                <w:lang w:eastAsia="en-AU"/>
              </w:rPr>
              <w:t>.</w:t>
            </w:r>
          </w:p>
        </w:tc>
      </w:tr>
      <w:tr w:rsidR="007568B1" w:rsidRPr="009E3949" w14:paraId="1F35C6D1" w14:textId="77777777" w:rsidTr="007877B3">
        <w:trPr>
          <w:cantSplit/>
        </w:trPr>
        <w:tc>
          <w:tcPr>
            <w:tcW w:w="1843" w:type="pct"/>
          </w:tcPr>
          <w:p w14:paraId="19AECF32" w14:textId="77777777" w:rsidR="007568B1" w:rsidRDefault="007568B1" w:rsidP="007877B3">
            <w:r>
              <w:t>c</w:t>
            </w:r>
            <w:r w:rsidRPr="00463AB3">
              <w:t>ommencement date</w:t>
            </w:r>
          </w:p>
        </w:tc>
        <w:tc>
          <w:tcPr>
            <w:tcW w:w="3157" w:type="pct"/>
          </w:tcPr>
          <w:p w14:paraId="624F81DC" w14:textId="77777777" w:rsidR="007568B1" w:rsidRPr="006C4678" w:rsidRDefault="007568B1" w:rsidP="007877B3">
            <w:r>
              <w:t>t</w:t>
            </w:r>
            <w:r w:rsidRPr="00463AB3">
              <w:t xml:space="preserve">he expected start date for the </w:t>
            </w:r>
            <w:r>
              <w:t>grant</w:t>
            </w:r>
            <w:r w:rsidRPr="00463AB3">
              <w:t xml:space="preserve"> activity</w:t>
            </w:r>
            <w:r>
              <w:t>.</w:t>
            </w:r>
            <w:r w:rsidRPr="00463AB3">
              <w:t xml:space="preserve"> </w:t>
            </w:r>
          </w:p>
        </w:tc>
      </w:tr>
      <w:tr w:rsidR="007568B1" w:rsidRPr="009E3949" w14:paraId="342B8EA6" w14:textId="77777777" w:rsidTr="007877B3">
        <w:trPr>
          <w:cantSplit/>
        </w:trPr>
        <w:tc>
          <w:tcPr>
            <w:tcW w:w="1843" w:type="pct"/>
          </w:tcPr>
          <w:p w14:paraId="6D18F6FF" w14:textId="77777777" w:rsidR="007568B1" w:rsidRDefault="007568B1" w:rsidP="007877B3">
            <w:r>
              <w:t>c</w:t>
            </w:r>
            <w:r w:rsidRPr="00463AB3">
              <w:t>ompletion date</w:t>
            </w:r>
          </w:p>
        </w:tc>
        <w:tc>
          <w:tcPr>
            <w:tcW w:w="3157" w:type="pct"/>
          </w:tcPr>
          <w:p w14:paraId="71C881E1" w14:textId="77777777" w:rsidR="007568B1" w:rsidRPr="006C4678" w:rsidRDefault="007568B1" w:rsidP="007877B3">
            <w:r>
              <w:t>t</w:t>
            </w:r>
            <w:r w:rsidRPr="00463AB3">
              <w:t xml:space="preserve">he expected date that the </w:t>
            </w:r>
            <w:r>
              <w:t>grant</w:t>
            </w:r>
            <w:r w:rsidRPr="00463AB3">
              <w:t xml:space="preserve"> activity must be completed and the </w:t>
            </w:r>
            <w:r>
              <w:t>grant</w:t>
            </w:r>
            <w:r w:rsidRPr="00463AB3">
              <w:t xml:space="preserve"> spent by</w:t>
            </w:r>
            <w:r>
              <w:t>.</w:t>
            </w:r>
          </w:p>
        </w:tc>
      </w:tr>
      <w:tr w:rsidR="007568B1" w:rsidRPr="00274AE2" w14:paraId="4F42852A" w14:textId="77777777" w:rsidTr="007877B3">
        <w:trPr>
          <w:cantSplit/>
        </w:trPr>
        <w:tc>
          <w:tcPr>
            <w:tcW w:w="1843" w:type="pct"/>
          </w:tcPr>
          <w:p w14:paraId="060C3E2A" w14:textId="77777777" w:rsidR="007568B1" w:rsidRPr="00274AE2" w:rsidRDefault="007568B1" w:rsidP="007877B3">
            <w:r>
              <w:t>c</w:t>
            </w:r>
            <w:r w:rsidRPr="00274AE2">
              <w:t>o-sponsoring entity</w:t>
            </w:r>
          </w:p>
        </w:tc>
        <w:tc>
          <w:tcPr>
            <w:tcW w:w="3157" w:type="pct"/>
          </w:tcPr>
          <w:p w14:paraId="1EB98C27" w14:textId="77777777" w:rsidR="007568B1" w:rsidRPr="00274AE2" w:rsidRDefault="007568B1" w:rsidP="007877B3">
            <w:pPr>
              <w:rPr>
                <w:rFonts w:cs="Arial"/>
                <w:lang w:eastAsia="en-AU"/>
              </w:rPr>
            </w:pPr>
            <w:r>
              <w:rPr>
                <w:rFonts w:cs="Arial"/>
                <w:lang w:eastAsia="en-AU"/>
              </w:rPr>
              <w:t>w</w:t>
            </w:r>
            <w:r w:rsidRPr="00274AE2">
              <w:rPr>
                <w:rFonts w:cs="Arial"/>
                <w:lang w:eastAsia="en-AU"/>
              </w:rPr>
              <w:t>hen two or more entities are responsible for the policy and the appropriation for outcomes associated with it</w:t>
            </w:r>
            <w:r>
              <w:rPr>
                <w:rFonts w:cs="Arial"/>
                <w:lang w:eastAsia="en-AU"/>
              </w:rPr>
              <w:t>.</w:t>
            </w:r>
          </w:p>
        </w:tc>
      </w:tr>
      <w:tr w:rsidR="007568B1" w:rsidRPr="009E3949" w14:paraId="7FE499B6" w14:textId="77777777" w:rsidTr="007877B3">
        <w:trPr>
          <w:cantSplit/>
        </w:trPr>
        <w:tc>
          <w:tcPr>
            <w:tcW w:w="1843" w:type="pct"/>
          </w:tcPr>
          <w:p w14:paraId="45FB83A9" w14:textId="77777777" w:rsidR="007568B1" w:rsidRDefault="007568B1" w:rsidP="007877B3">
            <w:r>
              <w:t>date of effect</w:t>
            </w:r>
          </w:p>
        </w:tc>
        <w:tc>
          <w:tcPr>
            <w:tcW w:w="3157" w:type="pct"/>
          </w:tcPr>
          <w:p w14:paraId="5CF6B758" w14:textId="77777777" w:rsidR="007568B1" w:rsidRPr="006C4678" w:rsidRDefault="007568B1" w:rsidP="007877B3">
            <w:pPr>
              <w:rPr>
                <w:i/>
              </w:rPr>
            </w:pPr>
            <w:r w:rsidRPr="00164671">
              <w:rPr>
                <w:rFonts w:cs="Arial"/>
                <w:lang w:eastAsia="en-AU"/>
              </w:rPr>
              <w:t xml:space="preserve">can be the date </w:t>
            </w:r>
            <w:r>
              <w:rPr>
                <w:rFonts w:cs="Arial"/>
                <w:lang w:eastAsia="en-AU"/>
              </w:rPr>
              <w:t>o</w:t>
            </w:r>
            <w:r w:rsidRPr="00164671">
              <w:rPr>
                <w:rFonts w:cs="Arial"/>
                <w:lang w:eastAsia="en-AU"/>
              </w:rPr>
              <w:t xml:space="preserve">n which a </w:t>
            </w:r>
            <w:r>
              <w:rPr>
                <w:rFonts w:cs="Arial"/>
                <w:lang w:eastAsia="en-AU"/>
              </w:rPr>
              <w:t>grant agreement</w:t>
            </w:r>
            <w:r w:rsidRPr="00164671">
              <w:rPr>
                <w:rFonts w:cs="Arial"/>
                <w:lang w:eastAsia="en-AU"/>
              </w:rPr>
              <w:t xml:space="preserve"> is signed or a specified starting date.</w:t>
            </w:r>
            <w:r w:rsidRPr="00AA1B96">
              <w:rPr>
                <w:rFonts w:cs="Arial"/>
                <w:lang w:eastAsia="en-AU"/>
              </w:rPr>
              <w:t xml:space="preserve"> Where there is no </w:t>
            </w:r>
            <w:r>
              <w:rPr>
                <w:rFonts w:cs="Arial"/>
                <w:lang w:eastAsia="en-AU"/>
              </w:rPr>
              <w:t>grant agreement</w:t>
            </w:r>
            <w:r w:rsidRPr="00AA1B96">
              <w:rPr>
                <w:rFonts w:cs="Arial"/>
                <w:lang w:eastAsia="en-AU"/>
              </w:rPr>
              <w:t xml:space="preserve">, entities must publish information on individual </w:t>
            </w:r>
            <w:r>
              <w:rPr>
                <w:rFonts w:cs="Arial"/>
                <w:lang w:eastAsia="en-AU"/>
              </w:rPr>
              <w:t>grant</w:t>
            </w:r>
            <w:r w:rsidRPr="00AA1B96">
              <w:rPr>
                <w:rFonts w:cs="Arial"/>
                <w:lang w:eastAsia="en-AU"/>
              </w:rPr>
              <w:t xml:space="preserve">s as soon as practicable. </w:t>
            </w:r>
          </w:p>
        </w:tc>
      </w:tr>
      <w:tr w:rsidR="007568B1" w:rsidRPr="009E3949" w14:paraId="2030D42A" w14:textId="77777777" w:rsidTr="007877B3">
        <w:trPr>
          <w:cantSplit/>
        </w:trPr>
        <w:tc>
          <w:tcPr>
            <w:tcW w:w="1843" w:type="pct"/>
          </w:tcPr>
          <w:p w14:paraId="7FE9C6C9" w14:textId="77777777" w:rsidR="007568B1" w:rsidRDefault="007568B1" w:rsidP="007877B3">
            <w:r w:rsidRPr="001B21A4">
              <w:t>decision maker</w:t>
            </w:r>
          </w:p>
        </w:tc>
        <w:tc>
          <w:tcPr>
            <w:tcW w:w="3157" w:type="pct"/>
          </w:tcPr>
          <w:p w14:paraId="467C0DF9" w14:textId="77777777" w:rsidR="007568B1" w:rsidRPr="006C4678" w:rsidRDefault="007568B1" w:rsidP="007877B3">
            <w:r>
              <w:rPr>
                <w:rFonts w:cs="Arial"/>
                <w:lang w:eastAsia="en-AU"/>
              </w:rPr>
              <w:t>t</w:t>
            </w:r>
            <w:r w:rsidRPr="00710FAB">
              <w:rPr>
                <w:rFonts w:cs="Arial"/>
                <w:lang w:eastAsia="en-AU"/>
              </w:rPr>
              <w:t xml:space="preserve">he person who makes a decision to award a </w:t>
            </w:r>
            <w:r>
              <w:rPr>
                <w:rFonts w:cs="Arial"/>
                <w:lang w:eastAsia="en-AU"/>
              </w:rPr>
              <w:t>grant.</w:t>
            </w:r>
          </w:p>
        </w:tc>
      </w:tr>
      <w:tr w:rsidR="007568B1" w:rsidRPr="009E3949" w14:paraId="7621C31F" w14:textId="77777777" w:rsidTr="007877B3">
        <w:trPr>
          <w:cantSplit/>
        </w:trPr>
        <w:tc>
          <w:tcPr>
            <w:tcW w:w="1843" w:type="pct"/>
          </w:tcPr>
          <w:p w14:paraId="0C480669" w14:textId="77777777" w:rsidR="007568B1" w:rsidRDefault="007568B1" w:rsidP="007877B3">
            <w:r w:rsidRPr="001B21A4">
              <w:t>eligibility criteria</w:t>
            </w:r>
          </w:p>
        </w:tc>
        <w:tc>
          <w:tcPr>
            <w:tcW w:w="3157" w:type="pct"/>
          </w:tcPr>
          <w:p w14:paraId="422A91A2" w14:textId="77777777" w:rsidR="007568B1" w:rsidRPr="006C4678" w:rsidRDefault="007568B1" w:rsidP="007877B3">
            <w:pPr>
              <w:rPr>
                <w:bCs/>
              </w:rPr>
            </w:pPr>
            <w:r>
              <w:rPr>
                <w:rFonts w:cs="Arial"/>
                <w:lang w:eastAsia="en-AU"/>
              </w:rPr>
              <w:t>r</w:t>
            </w:r>
            <w:r w:rsidRPr="00932BB0">
              <w:rPr>
                <w:rFonts w:cs="Arial"/>
                <w:lang w:eastAsia="en-AU"/>
              </w:rPr>
              <w:t xml:space="preserve">efer to the mandatory criteria which must be met to qualify for a </w:t>
            </w:r>
            <w:r>
              <w:rPr>
                <w:rFonts w:cs="Arial"/>
                <w:lang w:eastAsia="en-AU"/>
              </w:rPr>
              <w:t>grant</w:t>
            </w:r>
            <w:r w:rsidRPr="00932BB0">
              <w:rPr>
                <w:rFonts w:cs="Arial"/>
                <w:lang w:eastAsia="en-AU"/>
              </w:rPr>
              <w:t>. Assessment criteria may apply in addition to eligibility criteria</w:t>
            </w:r>
            <w:r>
              <w:rPr>
                <w:rFonts w:cs="Arial"/>
                <w:lang w:eastAsia="en-AU"/>
              </w:rPr>
              <w:t>.</w:t>
            </w:r>
          </w:p>
        </w:tc>
      </w:tr>
      <w:tr w:rsidR="007568B1" w:rsidRPr="009E3949" w14:paraId="11663B57" w14:textId="77777777" w:rsidTr="007877B3">
        <w:trPr>
          <w:cantSplit/>
        </w:trPr>
        <w:tc>
          <w:tcPr>
            <w:tcW w:w="1843" w:type="pct"/>
          </w:tcPr>
          <w:p w14:paraId="08478336" w14:textId="77777777" w:rsidR="007568B1" w:rsidRDefault="007568B1" w:rsidP="007877B3">
            <w:r>
              <w:t xml:space="preserve">Commonwealth </w:t>
            </w:r>
            <w:r w:rsidRPr="001B21A4">
              <w:t>entity</w:t>
            </w:r>
          </w:p>
        </w:tc>
        <w:tc>
          <w:tcPr>
            <w:tcW w:w="3157" w:type="pct"/>
          </w:tcPr>
          <w:p w14:paraId="3A816757" w14:textId="77777777" w:rsidR="007568B1" w:rsidRPr="006C4678" w:rsidRDefault="007568B1" w:rsidP="007877B3">
            <w:r>
              <w:rPr>
                <w:rFonts w:cs="Arial"/>
                <w:lang w:eastAsia="en-AU"/>
              </w:rPr>
              <w:t>a</w:t>
            </w:r>
            <w:r w:rsidRPr="00932BB0">
              <w:rPr>
                <w:rFonts w:cs="Arial"/>
                <w:lang w:eastAsia="en-AU"/>
              </w:rPr>
              <w:t xml:space="preserve"> </w:t>
            </w:r>
            <w:r>
              <w:rPr>
                <w:rFonts w:cs="Arial"/>
                <w:lang w:eastAsia="en-AU"/>
              </w:rPr>
              <w:t>d</w:t>
            </w:r>
            <w:r w:rsidRPr="00932BB0">
              <w:rPr>
                <w:rFonts w:cs="Arial"/>
                <w:lang w:eastAsia="en-AU"/>
              </w:rPr>
              <w:t xml:space="preserve">epartment of </w:t>
            </w:r>
            <w:r>
              <w:rPr>
                <w:rFonts w:cs="Arial"/>
                <w:lang w:eastAsia="en-AU"/>
              </w:rPr>
              <w:t>s</w:t>
            </w:r>
            <w:r w:rsidRPr="00932BB0">
              <w:rPr>
                <w:rFonts w:cs="Arial"/>
                <w:lang w:eastAsia="en-AU"/>
              </w:rPr>
              <w:t xml:space="preserve">tate, or a </w:t>
            </w:r>
            <w:r>
              <w:rPr>
                <w:rFonts w:cs="Arial"/>
                <w:lang w:eastAsia="en-AU"/>
              </w:rPr>
              <w:t>p</w:t>
            </w:r>
            <w:r w:rsidRPr="00932BB0">
              <w:rPr>
                <w:rFonts w:cs="Arial"/>
                <w:lang w:eastAsia="en-AU"/>
              </w:rPr>
              <w:t xml:space="preserve">arliamentary </w:t>
            </w:r>
            <w:r>
              <w:rPr>
                <w:rFonts w:cs="Arial"/>
                <w:lang w:eastAsia="en-AU"/>
              </w:rPr>
              <w:t>d</w:t>
            </w:r>
            <w:r w:rsidRPr="00932BB0">
              <w:rPr>
                <w:rFonts w:cs="Arial"/>
                <w:lang w:eastAsia="en-AU"/>
              </w:rPr>
              <w:t>epartment, or a listed entity or a body corporate established by a law of the Commonwealth. See subsections 10(1) and (2) of the PGPA Act</w:t>
            </w:r>
            <w:r>
              <w:rPr>
                <w:rFonts w:cs="Arial"/>
                <w:lang w:eastAsia="en-AU"/>
              </w:rPr>
              <w:t>.</w:t>
            </w:r>
          </w:p>
        </w:tc>
      </w:tr>
      <w:tr w:rsidR="007568B1" w:rsidRPr="009E3949" w14:paraId="5167F01F" w14:textId="77777777" w:rsidTr="007877B3">
        <w:trPr>
          <w:cantSplit/>
        </w:trPr>
        <w:tc>
          <w:tcPr>
            <w:tcW w:w="1843" w:type="pct"/>
          </w:tcPr>
          <w:p w14:paraId="19FF3E11" w14:textId="77777777" w:rsidR="007568B1" w:rsidRPr="00463AB3" w:rsidRDefault="00C03308" w:rsidP="007877B3">
            <w:pPr>
              <w:rPr>
                <w:rFonts w:cs="Arial"/>
                <w:lang w:eastAsia="en-AU"/>
              </w:rPr>
            </w:pPr>
            <w:hyperlink r:id="rId71" w:history="1">
              <w:r w:rsidR="007568B1" w:rsidRPr="00FA5A51">
                <w:rPr>
                  <w:rStyle w:val="Hyperlink"/>
                  <w:i/>
                </w:rPr>
                <w:t xml:space="preserve">Commonwealth </w:t>
              </w:r>
              <w:r w:rsidR="007568B1">
                <w:rPr>
                  <w:rStyle w:val="Hyperlink"/>
                  <w:i/>
                </w:rPr>
                <w:t>Grant</w:t>
              </w:r>
              <w:r w:rsidR="007568B1" w:rsidRPr="00FA5A51">
                <w:rPr>
                  <w:rStyle w:val="Hyperlink"/>
                  <w:i/>
                </w:rPr>
                <w:t>s Rules and Guidelines (CGRGs)</w:t>
              </w:r>
            </w:hyperlink>
            <w:r w:rsidR="007568B1">
              <w:rPr>
                <w:rStyle w:val="Hyperlink"/>
                <w:i/>
              </w:rPr>
              <w:t xml:space="preserve"> 2017 </w:t>
            </w:r>
          </w:p>
        </w:tc>
        <w:tc>
          <w:tcPr>
            <w:tcW w:w="3157" w:type="pct"/>
          </w:tcPr>
          <w:p w14:paraId="6FFCD443" w14:textId="77777777" w:rsidR="007568B1" w:rsidRPr="00463AB3" w:rsidRDefault="007568B1" w:rsidP="007877B3">
            <w:pPr>
              <w:rPr>
                <w:rFonts w:cs="Arial"/>
                <w:lang w:eastAsia="en-AU"/>
              </w:rPr>
            </w:pPr>
            <w:r>
              <w:rPr>
                <w:rFonts w:cs="Arial"/>
                <w:lang w:eastAsia="en-AU"/>
              </w:rPr>
              <w:t>e</w:t>
            </w:r>
            <w:r w:rsidRPr="00A77F5D">
              <w:rPr>
                <w:rFonts w:cs="Arial"/>
                <w:lang w:eastAsia="en-AU"/>
              </w:rPr>
              <w:t xml:space="preserve">stablish the overarching Commonwealth </w:t>
            </w:r>
            <w:r>
              <w:rPr>
                <w:rFonts w:cs="Arial"/>
                <w:lang w:eastAsia="en-AU"/>
              </w:rPr>
              <w:t>grant</w:t>
            </w:r>
            <w:r w:rsidRPr="00A77F5D">
              <w:rPr>
                <w:rFonts w:cs="Arial"/>
                <w:lang w:eastAsia="en-AU"/>
              </w:rPr>
              <w:t xml:space="preserve">s policy framework and articulate the expectations for all non-corporate Commonwealth entities in relation to </w:t>
            </w:r>
            <w:r>
              <w:rPr>
                <w:rFonts w:cs="Arial"/>
                <w:lang w:eastAsia="en-AU"/>
              </w:rPr>
              <w:t>grant</w:t>
            </w:r>
            <w:r w:rsidRPr="00A77F5D">
              <w:rPr>
                <w:rFonts w:cs="Arial"/>
                <w:lang w:eastAsia="en-AU"/>
              </w:rPr>
              <w:t xml:space="preserve">s administration. Under this overarching framework, non-corporate Commonwealth entities undertake </w:t>
            </w:r>
            <w:r>
              <w:rPr>
                <w:rFonts w:cs="Arial"/>
                <w:lang w:eastAsia="en-AU"/>
              </w:rPr>
              <w:t>grant</w:t>
            </w:r>
            <w:r w:rsidRPr="00A77F5D">
              <w:rPr>
                <w:rFonts w:cs="Arial"/>
                <w:lang w:eastAsia="en-AU"/>
              </w:rPr>
              <w:t xml:space="preserve">s administration based on the mandatory requirements and key principles of </w:t>
            </w:r>
            <w:r>
              <w:rPr>
                <w:rFonts w:cs="Arial"/>
                <w:lang w:eastAsia="en-AU"/>
              </w:rPr>
              <w:t>grant</w:t>
            </w:r>
            <w:r w:rsidRPr="00A77F5D">
              <w:rPr>
                <w:rFonts w:cs="Arial"/>
                <w:lang w:eastAsia="en-AU"/>
              </w:rPr>
              <w:t>s administration. </w:t>
            </w:r>
          </w:p>
        </w:tc>
      </w:tr>
      <w:tr w:rsidR="007568B1" w:rsidRPr="009E3949" w14:paraId="6C6253E1" w14:textId="77777777" w:rsidTr="007877B3">
        <w:trPr>
          <w:cantSplit/>
        </w:trPr>
        <w:tc>
          <w:tcPr>
            <w:tcW w:w="1843" w:type="pct"/>
          </w:tcPr>
          <w:p w14:paraId="1B73B0C0" w14:textId="77777777" w:rsidR="007568B1" w:rsidRPr="00463AB3" w:rsidRDefault="007568B1" w:rsidP="007877B3">
            <w:pPr>
              <w:rPr>
                <w:rFonts w:cs="Arial"/>
                <w:lang w:eastAsia="en-AU"/>
              </w:rPr>
            </w:pPr>
            <w:r>
              <w:rPr>
                <w:rFonts w:cs="Arial"/>
                <w:lang w:eastAsia="en-AU"/>
              </w:rPr>
              <w:t>F</w:t>
            </w:r>
            <w:r w:rsidRPr="00D369C8">
              <w:rPr>
                <w:rFonts w:cs="Arial"/>
                <w:lang w:eastAsia="en-AU"/>
              </w:rPr>
              <w:t xml:space="preserve">unding </w:t>
            </w:r>
            <w:r>
              <w:rPr>
                <w:rFonts w:cs="Arial"/>
                <w:lang w:eastAsia="en-AU"/>
              </w:rPr>
              <w:t>A</w:t>
            </w:r>
            <w:r w:rsidRPr="00D369C8">
              <w:rPr>
                <w:rFonts w:cs="Arial"/>
                <w:lang w:eastAsia="en-AU"/>
              </w:rPr>
              <w:t xml:space="preserve">rrangement </w:t>
            </w:r>
            <w:r>
              <w:rPr>
                <w:rFonts w:cs="Arial"/>
                <w:lang w:eastAsia="en-AU"/>
              </w:rPr>
              <w:t>M</w:t>
            </w:r>
            <w:r w:rsidRPr="00D369C8">
              <w:rPr>
                <w:rFonts w:cs="Arial"/>
                <w:lang w:eastAsia="en-AU"/>
              </w:rPr>
              <w:t xml:space="preserve">anager </w:t>
            </w:r>
          </w:p>
        </w:tc>
        <w:tc>
          <w:tcPr>
            <w:tcW w:w="3157" w:type="pct"/>
          </w:tcPr>
          <w:p w14:paraId="40508746" w14:textId="77777777" w:rsidR="007568B1" w:rsidRDefault="007568B1" w:rsidP="007877B3">
            <w:pPr>
              <w:suppressAutoHyphens/>
              <w:spacing w:before="60"/>
            </w:pPr>
            <w:r>
              <w:t>the officer responsible for the ongoing management of the grantee and their compliance with the grant agreement.</w:t>
            </w:r>
          </w:p>
        </w:tc>
      </w:tr>
      <w:tr w:rsidR="007568B1" w:rsidRPr="009E3949" w14:paraId="7E680D40" w14:textId="77777777" w:rsidTr="007877B3">
        <w:trPr>
          <w:cantSplit/>
        </w:trPr>
        <w:tc>
          <w:tcPr>
            <w:tcW w:w="1843" w:type="pct"/>
          </w:tcPr>
          <w:p w14:paraId="1338DB92" w14:textId="77777777" w:rsidR="007568B1" w:rsidRPr="0007627E" w:rsidRDefault="007568B1" w:rsidP="007877B3">
            <w:r>
              <w:rPr>
                <w:rFonts w:cs="Arial"/>
                <w:lang w:eastAsia="en-AU"/>
              </w:rPr>
              <w:lastRenderedPageBreak/>
              <w:t>grant</w:t>
            </w:r>
            <w:r w:rsidRPr="00463AB3">
              <w:rPr>
                <w:rFonts w:cs="Arial"/>
                <w:lang w:eastAsia="en-AU"/>
              </w:rPr>
              <w:t xml:space="preserve"> </w:t>
            </w:r>
          </w:p>
        </w:tc>
        <w:tc>
          <w:tcPr>
            <w:tcW w:w="3157" w:type="pct"/>
          </w:tcPr>
          <w:p w14:paraId="074C3B32" w14:textId="77777777" w:rsidR="007568B1" w:rsidRPr="006A6E10" w:rsidRDefault="007568B1" w:rsidP="007877B3">
            <w:pPr>
              <w:suppressAutoHyphens/>
              <w:spacing w:before="60"/>
              <w:rPr>
                <w:rFonts w:cs="Arial"/>
              </w:rPr>
            </w:pPr>
            <w:r>
              <w:t xml:space="preserve">for the purposes of the CGRGs, a ‘grant’ is an arrangement for the provision of financial assistance by the </w:t>
            </w:r>
            <w:r w:rsidRPr="006A6E10">
              <w:rPr>
                <w:rFonts w:cs="Arial"/>
              </w:rPr>
              <w:t>Commonwealth or on behalf of the Commonwealth:</w:t>
            </w:r>
          </w:p>
          <w:p w14:paraId="1287A7C3" w14:textId="77777777" w:rsidR="007568B1" w:rsidRPr="00181A24" w:rsidRDefault="007568B1" w:rsidP="00C342EE">
            <w:pPr>
              <w:pStyle w:val="NumberedList2"/>
              <w:numPr>
                <w:ilvl w:val="1"/>
                <w:numId w:val="18"/>
              </w:numPr>
              <w:spacing w:before="60"/>
              <w:ind w:left="1134"/>
              <w:rPr>
                <w:rFonts w:ascii="Arial" w:hAnsi="Arial" w:cs="Arial"/>
                <w:sz w:val="20"/>
                <w:szCs w:val="20"/>
              </w:rPr>
            </w:pPr>
            <w:r w:rsidRPr="00181A24">
              <w:rPr>
                <w:rFonts w:ascii="Arial" w:hAnsi="Arial" w:cs="Arial"/>
                <w:sz w:val="20"/>
                <w:szCs w:val="20"/>
              </w:rPr>
              <w:t>under which relevant money</w:t>
            </w:r>
            <w:r w:rsidRPr="00181A24">
              <w:rPr>
                <w:rStyle w:val="FootnoteReference"/>
                <w:rFonts w:ascii="Arial" w:hAnsi="Arial" w:cs="Arial"/>
                <w:sz w:val="20"/>
                <w:szCs w:val="20"/>
              </w:rPr>
              <w:footnoteReference w:id="9"/>
            </w:r>
            <w:r w:rsidRPr="00181A24">
              <w:rPr>
                <w:rFonts w:ascii="Arial" w:hAnsi="Arial" w:cs="Arial"/>
                <w:sz w:val="20"/>
                <w:szCs w:val="20"/>
              </w:rPr>
              <w:t xml:space="preserve"> or other</w:t>
            </w:r>
            <w:r>
              <w:rPr>
                <w:rFonts w:ascii="Arial" w:hAnsi="Arial" w:cs="Arial"/>
                <w:sz w:val="20"/>
                <w:szCs w:val="20"/>
              </w:rPr>
              <w:t xml:space="preserve"> </w:t>
            </w:r>
            <w:hyperlink r:id="rId72" w:history="1">
              <w:r w:rsidRPr="001420AF">
                <w:rPr>
                  <w:rStyle w:val="Hyperlink"/>
                  <w:rFonts w:ascii="Arial" w:hAnsi="Arial" w:cs="Arial"/>
                  <w:sz w:val="20"/>
                  <w:szCs w:val="20"/>
                </w:rPr>
                <w:t>Consolidated Revenue Fund</w:t>
              </w:r>
            </w:hyperlink>
            <w:r w:rsidRPr="00181A24">
              <w:rPr>
                <w:rFonts w:ascii="Arial" w:hAnsi="Arial" w:cs="Arial"/>
                <w:sz w:val="20"/>
                <w:szCs w:val="20"/>
              </w:rPr>
              <w:t xml:space="preserve"> </w:t>
            </w:r>
            <w:r>
              <w:rPr>
                <w:rFonts w:ascii="Arial" w:hAnsi="Arial" w:cs="Arial"/>
                <w:sz w:val="20"/>
                <w:szCs w:val="20"/>
              </w:rPr>
              <w:t>(</w:t>
            </w:r>
            <w:r w:rsidRPr="00181A24">
              <w:rPr>
                <w:rFonts w:ascii="Arial" w:hAnsi="Arial" w:cs="Arial"/>
                <w:sz w:val="20"/>
                <w:szCs w:val="20"/>
              </w:rPr>
              <w:t>CRF</w:t>
            </w:r>
            <w:r>
              <w:rPr>
                <w:rFonts w:ascii="Arial" w:hAnsi="Arial" w:cs="Arial"/>
                <w:sz w:val="20"/>
                <w:szCs w:val="20"/>
              </w:rPr>
              <w:t>)</w:t>
            </w:r>
            <w:r w:rsidRPr="00181A24">
              <w:rPr>
                <w:rFonts w:ascii="Arial" w:hAnsi="Arial" w:cs="Arial"/>
                <w:sz w:val="20"/>
                <w:szCs w:val="20"/>
              </w:rPr>
              <w:t xml:space="preserve"> money</w:t>
            </w:r>
            <w:r w:rsidRPr="00181A24">
              <w:rPr>
                <w:rStyle w:val="FootnoteReference"/>
                <w:rFonts w:ascii="Arial" w:hAnsi="Arial" w:cs="Arial"/>
                <w:sz w:val="20"/>
                <w:szCs w:val="20"/>
              </w:rPr>
              <w:footnoteReference w:id="10"/>
            </w:r>
            <w:r w:rsidRPr="00181A24">
              <w:rPr>
                <w:rFonts w:ascii="Arial" w:hAnsi="Arial" w:cs="Arial"/>
                <w:sz w:val="20"/>
                <w:szCs w:val="20"/>
              </w:rPr>
              <w:t xml:space="preserve"> is to be paid to a </w:t>
            </w:r>
            <w:r>
              <w:rPr>
                <w:rFonts w:ascii="Arial" w:hAnsi="Arial" w:cs="Arial"/>
                <w:sz w:val="20"/>
                <w:szCs w:val="20"/>
              </w:rPr>
              <w:t>grant</w:t>
            </w:r>
            <w:r w:rsidRPr="00181A24">
              <w:rPr>
                <w:rFonts w:ascii="Arial" w:hAnsi="Arial" w:cs="Arial"/>
                <w:sz w:val="20"/>
                <w:szCs w:val="20"/>
              </w:rPr>
              <w:t>ee other than the Commonwealth</w:t>
            </w:r>
          </w:p>
          <w:p w14:paraId="793B98F6" w14:textId="77777777" w:rsidR="007568B1" w:rsidRPr="00710FAB" w:rsidRDefault="007568B1" w:rsidP="00C342EE">
            <w:pPr>
              <w:pStyle w:val="NumberedList2"/>
              <w:numPr>
                <w:ilvl w:val="1"/>
                <w:numId w:val="17"/>
              </w:numPr>
              <w:spacing w:before="60"/>
              <w:ind w:left="1134"/>
            </w:pPr>
            <w:r w:rsidRPr="00181A24">
              <w:rPr>
                <w:rFonts w:ascii="Arial" w:hAnsi="Arial" w:cs="Arial"/>
                <w:sz w:val="20"/>
                <w:szCs w:val="20"/>
              </w:rPr>
              <w:t xml:space="preserve">which is intended to help address one or more of the </w:t>
            </w:r>
            <w:r>
              <w:rPr>
                <w:rFonts w:ascii="Arial" w:hAnsi="Arial" w:cs="Arial"/>
                <w:sz w:val="20"/>
                <w:szCs w:val="20"/>
              </w:rPr>
              <w:t>Australian Government</w:t>
            </w:r>
            <w:r w:rsidRPr="00181A24">
              <w:rPr>
                <w:rFonts w:ascii="Arial" w:hAnsi="Arial" w:cs="Arial"/>
                <w:sz w:val="20"/>
                <w:szCs w:val="20"/>
              </w:rPr>
              <w:t xml:space="preserve">’s policy outcomes while assisting the </w:t>
            </w:r>
            <w:r>
              <w:rPr>
                <w:rFonts w:ascii="Arial" w:hAnsi="Arial" w:cs="Arial"/>
                <w:sz w:val="20"/>
                <w:szCs w:val="20"/>
              </w:rPr>
              <w:t>grant</w:t>
            </w:r>
            <w:r w:rsidRPr="00181A24">
              <w:rPr>
                <w:rFonts w:ascii="Arial" w:hAnsi="Arial" w:cs="Arial"/>
                <w:sz w:val="20"/>
                <w:szCs w:val="20"/>
              </w:rPr>
              <w:t>ee achieve its objectives.</w:t>
            </w:r>
            <w:r w:rsidRPr="003B575D">
              <w:rPr>
                <w:rFonts w:ascii="Arial" w:hAnsi="Arial" w:cs="Arial"/>
              </w:rPr>
              <w:t xml:space="preserve"> </w:t>
            </w:r>
          </w:p>
        </w:tc>
      </w:tr>
      <w:tr w:rsidR="007568B1" w:rsidRPr="009E3949" w14:paraId="5051D0E4" w14:textId="77777777" w:rsidTr="007877B3">
        <w:trPr>
          <w:cantSplit/>
        </w:trPr>
        <w:tc>
          <w:tcPr>
            <w:tcW w:w="1843" w:type="pct"/>
          </w:tcPr>
          <w:p w14:paraId="78D14210" w14:textId="77777777" w:rsidR="007568B1" w:rsidRPr="00463AB3" w:rsidRDefault="007568B1" w:rsidP="007877B3">
            <w:pPr>
              <w:rPr>
                <w:rFonts w:cs="Arial"/>
                <w:lang w:eastAsia="en-AU"/>
              </w:rPr>
            </w:pPr>
            <w:r>
              <w:t xml:space="preserve">grant </w:t>
            </w:r>
            <w:r w:rsidRPr="001B21A4">
              <w:t>activity</w:t>
            </w:r>
            <w:r>
              <w:t>/activities</w:t>
            </w:r>
          </w:p>
        </w:tc>
        <w:tc>
          <w:tcPr>
            <w:tcW w:w="3157" w:type="pct"/>
          </w:tcPr>
          <w:p w14:paraId="0EE05CB9" w14:textId="77777777" w:rsidR="007568B1" w:rsidRPr="00463AB3" w:rsidRDefault="007568B1" w:rsidP="007877B3">
            <w:pPr>
              <w:rPr>
                <w:rFonts w:cs="Arial"/>
                <w:lang w:eastAsia="en-AU"/>
              </w:rPr>
            </w:pPr>
            <w:r>
              <w:t>r</w:t>
            </w:r>
            <w:r w:rsidRPr="00A77F5D">
              <w:t xml:space="preserve">efers to the project/tasks/services that the </w:t>
            </w:r>
            <w:r>
              <w:t>grant</w:t>
            </w:r>
            <w:r w:rsidRPr="00A77F5D">
              <w:t>ee is required to undertake</w:t>
            </w:r>
            <w:r>
              <w:t>.</w:t>
            </w:r>
          </w:p>
        </w:tc>
      </w:tr>
      <w:tr w:rsidR="007568B1" w:rsidRPr="009E3949" w14:paraId="4E4B9A01" w14:textId="77777777" w:rsidTr="007877B3">
        <w:trPr>
          <w:cantSplit/>
        </w:trPr>
        <w:tc>
          <w:tcPr>
            <w:tcW w:w="1843" w:type="pct"/>
          </w:tcPr>
          <w:p w14:paraId="6DC790B2" w14:textId="77777777" w:rsidR="007568B1" w:rsidRDefault="007568B1" w:rsidP="007877B3">
            <w:r>
              <w:t>grant agreement</w:t>
            </w:r>
          </w:p>
        </w:tc>
        <w:tc>
          <w:tcPr>
            <w:tcW w:w="3157" w:type="pct"/>
          </w:tcPr>
          <w:p w14:paraId="1C06DCA6" w14:textId="77777777" w:rsidR="007568B1" w:rsidRPr="00710FAB" w:rsidRDefault="007568B1" w:rsidP="007877B3">
            <w:r>
              <w:t>s</w:t>
            </w:r>
            <w:r w:rsidRPr="00A77F5D">
              <w:t>ets out the relations</w:t>
            </w:r>
            <w:r>
              <w:t>hip between the parties to the agreement</w:t>
            </w:r>
            <w:r w:rsidRPr="00A77F5D">
              <w:t xml:space="preserve">, and specifies the details of the </w:t>
            </w:r>
            <w:r>
              <w:t>grant.</w:t>
            </w:r>
          </w:p>
        </w:tc>
      </w:tr>
      <w:tr w:rsidR="007568B1" w:rsidRPr="009E3949" w14:paraId="0DA8A17A" w14:textId="77777777" w:rsidTr="007877B3">
        <w:trPr>
          <w:cantSplit/>
        </w:trPr>
        <w:tc>
          <w:tcPr>
            <w:tcW w:w="1843" w:type="pct"/>
          </w:tcPr>
          <w:p w14:paraId="45600010" w14:textId="77777777" w:rsidR="007568B1" w:rsidRDefault="00C03308" w:rsidP="007877B3">
            <w:hyperlink r:id="rId73" w:history="1">
              <w:r w:rsidR="007568B1">
                <w:rPr>
                  <w:rStyle w:val="Hyperlink"/>
                </w:rPr>
                <w:t>Grant</w:t>
              </w:r>
              <w:r w:rsidR="007568B1" w:rsidRPr="00132512">
                <w:rPr>
                  <w:rStyle w:val="Hyperlink"/>
                </w:rPr>
                <w:t>Connect</w:t>
              </w:r>
            </w:hyperlink>
          </w:p>
        </w:tc>
        <w:tc>
          <w:tcPr>
            <w:tcW w:w="3157" w:type="pct"/>
          </w:tcPr>
          <w:p w14:paraId="0EEF4EA4" w14:textId="77777777" w:rsidR="007568B1" w:rsidRPr="00710FAB" w:rsidRDefault="007568B1" w:rsidP="007877B3">
            <w:r w:rsidRPr="00A77F5D">
              <w:t xml:space="preserve">the </w:t>
            </w:r>
            <w:r>
              <w:t>Australian Government</w:t>
            </w:r>
            <w:r w:rsidRPr="00A77F5D">
              <w:t xml:space="preserve">’s </w:t>
            </w:r>
            <w:r>
              <w:t>W</w:t>
            </w:r>
            <w:r w:rsidRPr="00A77F5D">
              <w:t>hole-of-</w:t>
            </w:r>
            <w:r>
              <w:t>Government</w:t>
            </w:r>
            <w:r w:rsidRPr="00A77F5D">
              <w:t xml:space="preserve"> </w:t>
            </w:r>
            <w:r>
              <w:t>grant</w:t>
            </w:r>
            <w:r w:rsidRPr="00A77F5D">
              <w:t xml:space="preserve">s information system, which centralises the publication and reporting of Commonwealth </w:t>
            </w:r>
            <w:r>
              <w:t>grant</w:t>
            </w:r>
            <w:r w:rsidRPr="00A77F5D">
              <w:t>s in accordance with the CGRGs</w:t>
            </w:r>
            <w:r>
              <w:t>.</w:t>
            </w:r>
          </w:p>
        </w:tc>
      </w:tr>
      <w:tr w:rsidR="007568B1" w:rsidRPr="009E3949" w14:paraId="324BB8D7" w14:textId="77777777" w:rsidTr="007877B3">
        <w:trPr>
          <w:cantSplit/>
        </w:trPr>
        <w:tc>
          <w:tcPr>
            <w:tcW w:w="1843" w:type="pct"/>
          </w:tcPr>
          <w:p w14:paraId="19478C21" w14:textId="77777777" w:rsidR="007568B1" w:rsidRPr="001B21A4" w:rsidRDefault="007568B1" w:rsidP="007877B3">
            <w:r>
              <w:t>grant opportunity</w:t>
            </w:r>
          </w:p>
        </w:tc>
        <w:tc>
          <w:tcPr>
            <w:tcW w:w="3157" w:type="pct"/>
          </w:tcPr>
          <w:p w14:paraId="68D79A6A" w14:textId="77777777" w:rsidR="007568B1" w:rsidRPr="00710FAB" w:rsidRDefault="007568B1" w:rsidP="007877B3">
            <w:r>
              <w:t>r</w:t>
            </w:r>
            <w:r w:rsidRPr="00A77F5D">
              <w:t xml:space="preserve">efers to the specific </w:t>
            </w:r>
            <w:r>
              <w:t>grant</w:t>
            </w:r>
            <w:r w:rsidRPr="00A77F5D">
              <w:t xml:space="preserve"> round or process where a Commonwealth </w:t>
            </w:r>
            <w:r>
              <w:t>grant</w:t>
            </w:r>
            <w:r w:rsidRPr="00A77F5D">
              <w:t xml:space="preserve"> is made available to potential </w:t>
            </w:r>
            <w:r>
              <w:t>grant</w:t>
            </w:r>
            <w:r w:rsidRPr="00A77F5D">
              <w:t xml:space="preserve">ees. </w:t>
            </w:r>
            <w:r>
              <w:t>Grant</w:t>
            </w:r>
            <w:r w:rsidRPr="00A77F5D">
              <w:t xml:space="preserve"> opportunities may be open or targeted, and will reflect the relevant </w:t>
            </w:r>
            <w:r>
              <w:t>grant</w:t>
            </w:r>
            <w:r w:rsidRPr="00A77F5D">
              <w:t xml:space="preserve"> selection process</w:t>
            </w:r>
            <w:r>
              <w:t>.</w:t>
            </w:r>
          </w:p>
        </w:tc>
      </w:tr>
      <w:tr w:rsidR="007568B1" w:rsidRPr="009E3949" w14:paraId="1EF407BA" w14:textId="77777777" w:rsidTr="007877B3">
        <w:trPr>
          <w:cantSplit/>
        </w:trPr>
        <w:tc>
          <w:tcPr>
            <w:tcW w:w="1843" w:type="pct"/>
          </w:tcPr>
          <w:p w14:paraId="1DFECBE7" w14:textId="77777777" w:rsidR="007568B1" w:rsidRDefault="007568B1" w:rsidP="007877B3">
            <w:r>
              <w:t>grant</w:t>
            </w:r>
            <w:r w:rsidRPr="001B21A4">
              <w:t xml:space="preserve"> </w:t>
            </w:r>
            <w:r>
              <w:t>program</w:t>
            </w:r>
          </w:p>
        </w:tc>
        <w:tc>
          <w:tcPr>
            <w:tcW w:w="3157" w:type="pct"/>
          </w:tcPr>
          <w:p w14:paraId="52E10E72" w14:textId="77777777" w:rsidR="007568B1" w:rsidRPr="00F85418" w:rsidRDefault="007568B1" w:rsidP="007877B3">
            <w:pPr>
              <w:rPr>
                <w:rFonts w:cs="Arial"/>
              </w:rPr>
            </w:pPr>
            <w:r>
              <w:rPr>
                <w:rFonts w:cs="Arial"/>
              </w:rPr>
              <w:t>a ‘program’ carries its natural meaning and is intended to cover a potentially wide range of related activities aimed at achieving Government policy outcomes. A grant program i</w:t>
            </w:r>
            <w:r w:rsidRPr="00A77F5D">
              <w:rPr>
                <w:rFonts w:cs="Arial"/>
              </w:rPr>
              <w:t xml:space="preserve">s a group of one or more </w:t>
            </w:r>
            <w:r>
              <w:rPr>
                <w:rFonts w:cs="Arial"/>
              </w:rPr>
              <w:t>grant</w:t>
            </w:r>
            <w:r w:rsidRPr="00A77F5D">
              <w:rPr>
                <w:rFonts w:cs="Arial"/>
              </w:rPr>
              <w:t xml:space="preserve"> opportunities under a single [entity] Portfolio Budget Statement Program</w:t>
            </w:r>
            <w:r>
              <w:rPr>
                <w:rFonts w:cs="Arial"/>
              </w:rPr>
              <w:t>.</w:t>
            </w:r>
          </w:p>
        </w:tc>
      </w:tr>
      <w:tr w:rsidR="007568B1" w:rsidRPr="009E3949" w14:paraId="6275748F" w14:textId="77777777" w:rsidTr="007877B3">
        <w:trPr>
          <w:cantSplit/>
        </w:trPr>
        <w:tc>
          <w:tcPr>
            <w:tcW w:w="1843" w:type="pct"/>
          </w:tcPr>
          <w:p w14:paraId="12D93C05" w14:textId="77777777" w:rsidR="007568B1" w:rsidRPr="001B21A4" w:rsidRDefault="007568B1" w:rsidP="007877B3">
            <w:r>
              <w:t>grantee</w:t>
            </w:r>
          </w:p>
        </w:tc>
        <w:tc>
          <w:tcPr>
            <w:tcW w:w="3157" w:type="pct"/>
          </w:tcPr>
          <w:p w14:paraId="32E0504D" w14:textId="77777777" w:rsidR="007568B1" w:rsidRPr="00710FAB" w:rsidRDefault="007568B1" w:rsidP="007877B3">
            <w:pPr>
              <w:rPr>
                <w:rFonts w:cs="Arial"/>
              </w:rPr>
            </w:pPr>
            <w:r>
              <w:t>the individual/organisation which has been selected to receive a grant.</w:t>
            </w:r>
          </w:p>
        </w:tc>
      </w:tr>
      <w:tr w:rsidR="007568B1" w:rsidRPr="009E3949" w14:paraId="5A5E20B0" w14:textId="77777777" w:rsidTr="007877B3">
        <w:trPr>
          <w:cantSplit/>
        </w:trPr>
        <w:tc>
          <w:tcPr>
            <w:tcW w:w="1843" w:type="pct"/>
          </w:tcPr>
          <w:p w14:paraId="4F0582F1" w14:textId="77777777" w:rsidR="007568B1" w:rsidRDefault="007568B1" w:rsidP="007877B3">
            <w:r>
              <w:t>Portfolio Budget Statement (</w:t>
            </w:r>
            <w:r w:rsidRPr="00463AB3">
              <w:t>PBS</w:t>
            </w:r>
            <w:r>
              <w:t>)</w:t>
            </w:r>
            <w:r w:rsidRPr="00463AB3">
              <w:t xml:space="preserve"> Program</w:t>
            </w:r>
          </w:p>
        </w:tc>
        <w:tc>
          <w:tcPr>
            <w:tcW w:w="3157" w:type="pct"/>
          </w:tcPr>
          <w:p w14:paraId="217D2E18" w14:textId="628522E1" w:rsidR="007568B1" w:rsidRPr="00710FAB" w:rsidRDefault="007568B1" w:rsidP="007877B3">
            <w:r>
              <w:rPr>
                <w:rFonts w:cs="Arial"/>
              </w:rPr>
              <w:t>d</w:t>
            </w:r>
            <w:r w:rsidRPr="00463AB3">
              <w:rPr>
                <w:rFonts w:cs="Arial"/>
              </w:rPr>
              <w:t xml:space="preserve">escribed within the entity’s </w:t>
            </w:r>
            <w:hyperlink r:id="rId74" w:history="1">
              <w:r w:rsidRPr="001420AF">
                <w:rPr>
                  <w:rStyle w:val="Hyperlink"/>
                  <w:rFonts w:cs="Arial"/>
                </w:rPr>
                <w:t>Portfolio Budget Statement</w:t>
              </w:r>
            </w:hyperlink>
            <w:r w:rsidRPr="00463AB3">
              <w:rPr>
                <w:rFonts w:cs="Arial"/>
              </w:rPr>
              <w:t xml:space="preserve">, </w:t>
            </w:r>
            <w:r w:rsidRPr="00463AB3">
              <w:t xml:space="preserve">PBS programs each link to a single outcome and provide transparency for funding decisions. These high-level PBS programs often comprise a number of lower level, more publicly recognised programs, some of which will be </w:t>
            </w:r>
            <w:r>
              <w:t>grant</w:t>
            </w:r>
            <w:r w:rsidRPr="00463AB3">
              <w:t xml:space="preserve"> Programs. A PBS Program may have more than one </w:t>
            </w:r>
            <w:r>
              <w:t>grant</w:t>
            </w:r>
            <w:r w:rsidR="007877B3">
              <w:t xml:space="preserve"> p</w:t>
            </w:r>
            <w:r w:rsidRPr="00463AB3">
              <w:t xml:space="preserve">rogram associated with it, and each of these may have </w:t>
            </w:r>
            <w:r w:rsidRPr="00463AB3">
              <w:rPr>
                <w:rFonts w:cs="Arial"/>
              </w:rPr>
              <w:t xml:space="preserve">one or more </w:t>
            </w:r>
            <w:r>
              <w:rPr>
                <w:rFonts w:cs="Arial"/>
              </w:rPr>
              <w:t>grant</w:t>
            </w:r>
            <w:r w:rsidRPr="00463AB3">
              <w:rPr>
                <w:rFonts w:cs="Arial"/>
              </w:rPr>
              <w:t xml:space="preserve"> opportunities</w:t>
            </w:r>
            <w:r>
              <w:rPr>
                <w:rFonts w:cs="Arial"/>
              </w:rPr>
              <w:t>.</w:t>
            </w:r>
          </w:p>
        </w:tc>
      </w:tr>
      <w:tr w:rsidR="007568B1" w:rsidRPr="009E3949" w14:paraId="7143D91A" w14:textId="77777777" w:rsidTr="007877B3">
        <w:trPr>
          <w:cantSplit/>
        </w:trPr>
        <w:tc>
          <w:tcPr>
            <w:tcW w:w="1843" w:type="pct"/>
          </w:tcPr>
          <w:p w14:paraId="6818F533" w14:textId="77777777" w:rsidR="007568B1" w:rsidRPr="00463AB3" w:rsidRDefault="007568B1" w:rsidP="007877B3">
            <w:r w:rsidRPr="001B21A4">
              <w:t>selection criteria</w:t>
            </w:r>
          </w:p>
        </w:tc>
        <w:tc>
          <w:tcPr>
            <w:tcW w:w="3157" w:type="pct"/>
          </w:tcPr>
          <w:p w14:paraId="208389A2" w14:textId="77777777" w:rsidR="007568B1" w:rsidRPr="00463AB3" w:rsidRDefault="007568B1" w:rsidP="007877B3">
            <w:pPr>
              <w:rPr>
                <w:rFonts w:cs="Arial"/>
              </w:rPr>
            </w:pPr>
            <w:r>
              <w:t>c</w:t>
            </w:r>
            <w:r w:rsidRPr="00710FAB">
              <w:t xml:space="preserve">omprise eligibility criteria </w:t>
            </w:r>
            <w:r>
              <w:t>and assessment criteria.</w:t>
            </w:r>
          </w:p>
        </w:tc>
      </w:tr>
      <w:tr w:rsidR="007568B1" w:rsidRPr="009E3949" w14:paraId="0AC71DBD" w14:textId="77777777" w:rsidTr="007877B3">
        <w:trPr>
          <w:cantSplit/>
        </w:trPr>
        <w:tc>
          <w:tcPr>
            <w:tcW w:w="1843" w:type="pct"/>
          </w:tcPr>
          <w:p w14:paraId="52EC9EB3" w14:textId="77777777" w:rsidR="007568B1" w:rsidRPr="001B21A4" w:rsidRDefault="007568B1" w:rsidP="007877B3">
            <w:r w:rsidRPr="001B21A4">
              <w:lastRenderedPageBreak/>
              <w:t>selection process</w:t>
            </w:r>
          </w:p>
        </w:tc>
        <w:tc>
          <w:tcPr>
            <w:tcW w:w="3157" w:type="pct"/>
          </w:tcPr>
          <w:p w14:paraId="5A91145D" w14:textId="77777777" w:rsidR="007568B1" w:rsidRPr="00710FAB" w:rsidRDefault="007568B1" w:rsidP="007877B3">
            <w:r>
              <w:t>t</w:t>
            </w:r>
            <w:r w:rsidRPr="00710FAB">
              <w:t xml:space="preserve">he method used to select potential </w:t>
            </w:r>
            <w:r>
              <w:t>grant</w:t>
            </w:r>
            <w:r w:rsidRPr="00710FAB">
              <w:t xml:space="preserve">ees. This process may involve comparative assessment of applications or the assessment of applications against the eligibility criteria and/or </w:t>
            </w:r>
            <w:r>
              <w:t>the assessment criteria.</w:t>
            </w:r>
          </w:p>
        </w:tc>
      </w:tr>
      <w:tr w:rsidR="007568B1" w:rsidRPr="009E3949" w14:paraId="0EACDB53" w14:textId="77777777" w:rsidTr="007877B3">
        <w:trPr>
          <w:cantSplit/>
          <w:trHeight w:val="1133"/>
        </w:trPr>
        <w:tc>
          <w:tcPr>
            <w:tcW w:w="1843" w:type="pct"/>
          </w:tcPr>
          <w:p w14:paraId="13CC88FF" w14:textId="77777777" w:rsidR="007568B1" w:rsidRPr="001B21A4" w:rsidRDefault="007568B1" w:rsidP="007877B3">
            <w:r>
              <w:t xml:space="preserve">selection advisory panel </w:t>
            </w:r>
          </w:p>
        </w:tc>
        <w:tc>
          <w:tcPr>
            <w:tcW w:w="3157" w:type="pct"/>
            <w:vAlign w:val="center"/>
          </w:tcPr>
          <w:p w14:paraId="28B04DFE" w14:textId="77777777" w:rsidR="007568B1" w:rsidRPr="00117DE3" w:rsidRDefault="007568B1" w:rsidP="007877B3">
            <w:pPr>
              <w:pStyle w:val="BodyText"/>
              <w:spacing w:before="0" w:after="0" w:line="240" w:lineRule="auto"/>
              <w:rPr>
                <w:sz w:val="20"/>
                <w:szCs w:val="20"/>
                <w:lang w:eastAsia="en-US"/>
              </w:rPr>
            </w:pPr>
            <w:r w:rsidRPr="00117DE3">
              <w:rPr>
                <w:sz w:val="20"/>
                <w:szCs w:val="20"/>
                <w:lang w:eastAsia="en-US"/>
              </w:rPr>
              <w:t>provide</w:t>
            </w:r>
            <w:r>
              <w:rPr>
                <w:sz w:val="20"/>
                <w:szCs w:val="20"/>
                <w:lang w:eastAsia="en-US"/>
              </w:rPr>
              <w:t>s</w:t>
            </w:r>
            <w:r w:rsidRPr="00117DE3">
              <w:rPr>
                <w:sz w:val="20"/>
                <w:szCs w:val="20"/>
                <w:lang w:eastAsia="en-US"/>
              </w:rPr>
              <w:t xml:space="preserve"> strategic oversight, advice and recommendations to the </w:t>
            </w:r>
            <w:r>
              <w:rPr>
                <w:sz w:val="20"/>
                <w:szCs w:val="20"/>
                <w:lang w:eastAsia="en-US"/>
              </w:rPr>
              <w:t>d</w:t>
            </w:r>
            <w:r w:rsidRPr="00117DE3">
              <w:rPr>
                <w:sz w:val="20"/>
                <w:szCs w:val="20"/>
                <w:lang w:eastAsia="en-US"/>
              </w:rPr>
              <w:t xml:space="preserve">ecision </w:t>
            </w:r>
            <w:r>
              <w:rPr>
                <w:sz w:val="20"/>
                <w:szCs w:val="20"/>
                <w:lang w:eastAsia="en-US"/>
              </w:rPr>
              <w:t>m</w:t>
            </w:r>
            <w:r w:rsidRPr="00117DE3">
              <w:rPr>
                <w:sz w:val="20"/>
                <w:szCs w:val="20"/>
                <w:lang w:eastAsia="en-US"/>
              </w:rPr>
              <w:t>aker on assessed applications from the program specific, service provider composition and service location perspectives.</w:t>
            </w:r>
          </w:p>
        </w:tc>
      </w:tr>
      <w:tr w:rsidR="007568B1" w:rsidRPr="009E3949" w14:paraId="1ABDB6B1" w14:textId="77777777" w:rsidTr="007877B3">
        <w:trPr>
          <w:cantSplit/>
        </w:trPr>
        <w:tc>
          <w:tcPr>
            <w:tcW w:w="1843" w:type="pct"/>
          </w:tcPr>
          <w:p w14:paraId="1866AEA9" w14:textId="77777777" w:rsidR="007568B1" w:rsidRPr="001B21A4" w:rsidRDefault="007568B1" w:rsidP="007877B3">
            <w:r>
              <w:t xml:space="preserve">value with </w:t>
            </w:r>
            <w:r w:rsidRPr="00274AE2">
              <w:t>money</w:t>
            </w:r>
          </w:p>
        </w:tc>
        <w:tc>
          <w:tcPr>
            <w:tcW w:w="3157" w:type="pct"/>
          </w:tcPr>
          <w:p w14:paraId="36474304" w14:textId="77777777" w:rsidR="007568B1" w:rsidRPr="00274AE2" w:rsidRDefault="007568B1" w:rsidP="007877B3">
            <w:r>
              <w:t xml:space="preserve">refers to ‘value with </w:t>
            </w:r>
            <w:r w:rsidRPr="00274AE2">
              <w:t>relevant money</w:t>
            </w:r>
            <w:r>
              <w:t xml:space="preserve">’ which is a </w:t>
            </w:r>
            <w:r w:rsidRPr="00274AE2">
              <w:t xml:space="preserve">judgement based on the </w:t>
            </w:r>
            <w:r>
              <w:t>grant</w:t>
            </w:r>
            <w:r w:rsidRPr="00274AE2">
              <w:t xml:space="preserve"> proposal representing an efficient, effective, economical and ethical use of public resources and </w:t>
            </w:r>
            <w:r>
              <w:t>dete</w:t>
            </w:r>
            <w:r w:rsidRPr="00274AE2">
              <w:t xml:space="preserve">rmined </w:t>
            </w:r>
            <w:r>
              <w:t>from</w:t>
            </w:r>
            <w:r w:rsidRPr="00274AE2">
              <w:t xml:space="preserve"> a variety of considerations.</w:t>
            </w:r>
          </w:p>
          <w:p w14:paraId="66E2BE14" w14:textId="77777777" w:rsidR="007568B1" w:rsidRPr="00274AE2" w:rsidRDefault="007568B1" w:rsidP="007877B3">
            <w:pPr>
              <w:spacing w:before="0" w:after="40" w:line="240" w:lineRule="auto"/>
            </w:pPr>
            <w:r w:rsidRPr="00274AE2">
              <w:t xml:space="preserve">When administering a </w:t>
            </w:r>
            <w:r>
              <w:t>grant</w:t>
            </w:r>
            <w:r w:rsidRPr="00274AE2">
              <w:t xml:space="preserve"> opportunity, an official should consider the relevant financial and non-financial costs and benefits of each proposal including, but not limited to</w:t>
            </w:r>
            <w:r>
              <w:t xml:space="preserve"> the</w:t>
            </w:r>
            <w:r w:rsidRPr="00274AE2">
              <w:t>:</w:t>
            </w:r>
          </w:p>
          <w:p w14:paraId="23A2E600" w14:textId="77777777" w:rsidR="007568B1" w:rsidRPr="00274AE2" w:rsidRDefault="007568B1" w:rsidP="00C342EE">
            <w:pPr>
              <w:numPr>
                <w:ilvl w:val="0"/>
                <w:numId w:val="16"/>
              </w:numPr>
              <w:spacing w:before="0" w:after="40" w:line="240" w:lineRule="auto"/>
              <w:ind w:left="342" w:hanging="342"/>
              <w:rPr>
                <w:rFonts w:cs="Arial"/>
                <w:lang w:eastAsia="en-AU"/>
              </w:rPr>
            </w:pPr>
            <w:r w:rsidRPr="00274AE2">
              <w:rPr>
                <w:rFonts w:cs="Arial"/>
                <w:lang w:eastAsia="en-AU"/>
              </w:rPr>
              <w:t>quality of the project proposal and activities</w:t>
            </w:r>
          </w:p>
          <w:p w14:paraId="3B5E5495" w14:textId="77777777" w:rsidR="007568B1" w:rsidRPr="00274AE2" w:rsidRDefault="007568B1" w:rsidP="00C342EE">
            <w:pPr>
              <w:numPr>
                <w:ilvl w:val="0"/>
                <w:numId w:val="16"/>
              </w:numPr>
              <w:spacing w:before="0" w:after="40" w:line="240" w:lineRule="auto"/>
              <w:ind w:left="342" w:hanging="342"/>
              <w:rPr>
                <w:rFonts w:cs="Arial"/>
                <w:lang w:eastAsia="en-AU"/>
              </w:rPr>
            </w:pPr>
            <w:r w:rsidRPr="00274AE2">
              <w:rPr>
                <w:rFonts w:cs="Arial"/>
                <w:lang w:eastAsia="en-AU"/>
              </w:rPr>
              <w:t xml:space="preserve">fit for purpose of the proposal in contributing to </w:t>
            </w:r>
            <w:r>
              <w:rPr>
                <w:rFonts w:cs="Arial"/>
                <w:lang w:eastAsia="en-AU"/>
              </w:rPr>
              <w:t>Government</w:t>
            </w:r>
            <w:r w:rsidRPr="00274AE2">
              <w:rPr>
                <w:rFonts w:cs="Arial"/>
                <w:lang w:eastAsia="en-AU"/>
              </w:rPr>
              <w:t xml:space="preserve"> objectives</w:t>
            </w:r>
          </w:p>
          <w:p w14:paraId="2CDFB604" w14:textId="77777777" w:rsidR="007568B1" w:rsidRPr="00D57F95" w:rsidRDefault="007568B1" w:rsidP="00C342EE">
            <w:pPr>
              <w:numPr>
                <w:ilvl w:val="0"/>
                <w:numId w:val="16"/>
              </w:numPr>
              <w:spacing w:before="0" w:after="40" w:line="240" w:lineRule="auto"/>
              <w:ind w:left="342" w:hanging="342"/>
            </w:pPr>
            <w:r w:rsidRPr="00274AE2">
              <w:rPr>
                <w:rFonts w:cs="Arial"/>
                <w:lang w:eastAsia="en-AU"/>
              </w:rPr>
              <w:t xml:space="preserve">absence of a </w:t>
            </w:r>
            <w:r>
              <w:rPr>
                <w:rFonts w:cs="Arial"/>
                <w:lang w:eastAsia="en-AU"/>
              </w:rPr>
              <w:t>grant</w:t>
            </w:r>
            <w:r w:rsidRPr="00274AE2">
              <w:rPr>
                <w:rFonts w:cs="Arial"/>
                <w:lang w:eastAsia="en-AU"/>
              </w:rPr>
              <w:t xml:space="preserve"> is likely to prevent the </w:t>
            </w:r>
            <w:r>
              <w:rPr>
                <w:rFonts w:cs="Arial"/>
                <w:lang w:eastAsia="en-AU"/>
              </w:rPr>
              <w:t>grant</w:t>
            </w:r>
            <w:r w:rsidRPr="00274AE2">
              <w:rPr>
                <w:rFonts w:cs="Arial"/>
                <w:lang w:eastAsia="en-AU"/>
              </w:rPr>
              <w:t xml:space="preserve">ee and </w:t>
            </w:r>
            <w:r>
              <w:rPr>
                <w:rFonts w:cs="Arial"/>
                <w:lang w:eastAsia="en-AU"/>
              </w:rPr>
              <w:t>Government</w:t>
            </w:r>
            <w:r w:rsidRPr="00274AE2">
              <w:rPr>
                <w:rFonts w:cs="Arial"/>
                <w:lang w:eastAsia="en-AU"/>
              </w:rPr>
              <w:t>’s outcomes being achieved</w:t>
            </w:r>
          </w:p>
          <w:p w14:paraId="1D5681C9" w14:textId="77777777" w:rsidR="007568B1" w:rsidRPr="00710FAB" w:rsidRDefault="007568B1" w:rsidP="00C342EE">
            <w:pPr>
              <w:numPr>
                <w:ilvl w:val="0"/>
                <w:numId w:val="16"/>
              </w:numPr>
              <w:spacing w:before="0" w:after="40" w:line="240" w:lineRule="auto"/>
              <w:ind w:left="342" w:hanging="342"/>
            </w:pPr>
            <w:r w:rsidRPr="00274AE2">
              <w:rPr>
                <w:rFonts w:cs="Arial"/>
                <w:lang w:eastAsia="en-AU"/>
              </w:rPr>
              <w:t xml:space="preserve">potential </w:t>
            </w:r>
            <w:r>
              <w:rPr>
                <w:rFonts w:cs="Arial"/>
                <w:lang w:eastAsia="en-AU"/>
              </w:rPr>
              <w:t>grant</w:t>
            </w:r>
            <w:r w:rsidRPr="00274AE2">
              <w:rPr>
                <w:rFonts w:cs="Arial"/>
                <w:lang w:eastAsia="en-AU"/>
              </w:rPr>
              <w:t>ee’s relevant experience and performance history</w:t>
            </w:r>
            <w:r w:rsidRPr="00274AE2">
              <w:rPr>
                <w:rFonts w:ascii="Times New Roman" w:hAnsi="Times New Roman"/>
                <w:sz w:val="24"/>
                <w:szCs w:val="24"/>
                <w:lang w:val="en" w:eastAsia="en-AU"/>
              </w:rPr>
              <w:t>.</w:t>
            </w:r>
          </w:p>
        </w:tc>
      </w:tr>
    </w:tbl>
    <w:p w14:paraId="7B166064" w14:textId="77777777" w:rsidR="007568B1" w:rsidRDefault="007568B1" w:rsidP="007568B1"/>
    <w:p w14:paraId="247CD018" w14:textId="77777777" w:rsidR="007568B1" w:rsidRDefault="007568B1" w:rsidP="007568B1"/>
    <w:p w14:paraId="6347F49F" w14:textId="77777777" w:rsidR="007568B1" w:rsidRDefault="007568B1" w:rsidP="007568B1">
      <w:pPr>
        <w:sectPr w:rsidR="007568B1" w:rsidSect="006B329D">
          <w:pgSz w:w="11907" w:h="16840" w:code="9"/>
          <w:pgMar w:top="1134" w:right="1418" w:bottom="1276" w:left="1701" w:header="709" w:footer="709" w:gutter="0"/>
          <w:cols w:space="720"/>
          <w:docGrid w:linePitch="360"/>
        </w:sectPr>
      </w:pPr>
    </w:p>
    <w:p w14:paraId="5A8051AD" w14:textId="77777777" w:rsidR="007568B1" w:rsidRDefault="007568B1" w:rsidP="007568B1">
      <w:pPr>
        <w:pStyle w:val="Heading2Appendix"/>
      </w:pPr>
      <w:bookmarkStart w:id="158" w:name="_Toc535934173"/>
      <w:bookmarkStart w:id="159" w:name="_Toc535831180"/>
      <w:bookmarkStart w:id="160" w:name="_Toc3559269"/>
      <w:r>
        <w:lastRenderedPageBreak/>
        <w:t>Appendix A.</w:t>
      </w:r>
      <w:bookmarkEnd w:id="158"/>
      <w:bookmarkEnd w:id="159"/>
      <w:bookmarkEnd w:id="160"/>
      <w:r>
        <w:t xml:space="preserve"> </w:t>
      </w:r>
    </w:p>
    <w:p w14:paraId="07CA327E" w14:textId="619CD1AA" w:rsidR="007568B1" w:rsidRDefault="008C7AE5" w:rsidP="007568B1">
      <w:pPr>
        <w:rPr>
          <w:b/>
          <w:bCs/>
          <w:sz w:val="24"/>
        </w:rPr>
      </w:pPr>
      <w:r>
        <w:rPr>
          <w:b/>
          <w:sz w:val="24"/>
        </w:rPr>
        <w:t>Types of services and s</w:t>
      </w:r>
      <w:r w:rsidR="007568B1">
        <w:rPr>
          <w:b/>
          <w:sz w:val="24"/>
        </w:rPr>
        <w:t>upport under the National Settlement Framework</w:t>
      </w:r>
    </w:p>
    <w:p w14:paraId="72FFBAAD" w14:textId="77777777" w:rsidR="007568B1" w:rsidRDefault="007568B1" w:rsidP="007568B1">
      <w:pPr>
        <w:rPr>
          <w:rFonts w:asciiTheme="minorHAnsi" w:eastAsiaTheme="minorHAnsi" w:hAnsiTheme="minorHAnsi" w:cstheme="minorBidi"/>
          <w:b/>
          <w:sz w:val="22"/>
        </w:rPr>
      </w:pPr>
      <w:r>
        <w:rPr>
          <w:b/>
        </w:rPr>
        <w:t xml:space="preserve">Education and Training </w:t>
      </w:r>
    </w:p>
    <w:p w14:paraId="57A973CF" w14:textId="77777777" w:rsidR="007568B1" w:rsidRDefault="007568B1" w:rsidP="007568B1">
      <w:pPr>
        <w:spacing w:before="0" w:after="0" w:line="240" w:lineRule="auto"/>
        <w:rPr>
          <w:rFonts w:eastAsia="Calibri" w:cs="Arial"/>
        </w:rPr>
      </w:pPr>
      <w:r>
        <w:rPr>
          <w:rFonts w:eastAsia="Calibri" w:cs="Arial"/>
        </w:rPr>
        <w:t xml:space="preserve">SETS </w:t>
      </w:r>
      <w:r>
        <w:rPr>
          <w:rFonts w:eastAsia="Calibri" w:cs="Arial"/>
        </w:rPr>
        <w:noBreakHyphen/>
        <w:t xml:space="preserve"> Client Services activities may include the following:</w:t>
      </w:r>
    </w:p>
    <w:p w14:paraId="1ACCBADF" w14:textId="77777777" w:rsidR="007568B1" w:rsidRDefault="007568B1" w:rsidP="00C342EE">
      <w:pPr>
        <w:numPr>
          <w:ilvl w:val="0"/>
          <w:numId w:val="25"/>
        </w:numPr>
        <w:spacing w:before="0" w:line="240" w:lineRule="auto"/>
        <w:ind w:left="714" w:hanging="357"/>
        <w:rPr>
          <w:rFonts w:eastAsia="Calibri" w:cs="Arial"/>
        </w:rPr>
      </w:pPr>
      <w:r>
        <w:rPr>
          <w:rFonts w:eastAsia="Calibri" w:cs="Arial"/>
        </w:rPr>
        <w:t>Develop awareness and understanding of the Australian educational system requirements including enrolment, compulsory attendance, school curriculum and other requirements of an age-based education system.</w:t>
      </w:r>
    </w:p>
    <w:p w14:paraId="3B29BB5A" w14:textId="77777777" w:rsidR="007568B1" w:rsidRDefault="007568B1" w:rsidP="00C342EE">
      <w:pPr>
        <w:numPr>
          <w:ilvl w:val="0"/>
          <w:numId w:val="25"/>
        </w:numPr>
        <w:spacing w:before="0" w:line="240" w:lineRule="auto"/>
        <w:ind w:left="714" w:hanging="357"/>
        <w:rPr>
          <w:rFonts w:eastAsia="Calibri" w:cs="Arial"/>
        </w:rPr>
      </w:pPr>
      <w:r>
        <w:rPr>
          <w:rFonts w:eastAsia="Calibri" w:cs="Arial"/>
        </w:rPr>
        <w:t>Provide support outside of school hours including homework or home tutoring schemes, reinforcing classroom teaching, and support to remain engaged in education.</w:t>
      </w:r>
    </w:p>
    <w:p w14:paraId="4B054A54" w14:textId="77777777" w:rsidR="007568B1" w:rsidRDefault="007568B1" w:rsidP="00C342EE">
      <w:pPr>
        <w:numPr>
          <w:ilvl w:val="0"/>
          <w:numId w:val="25"/>
        </w:numPr>
        <w:spacing w:before="0" w:line="240" w:lineRule="auto"/>
        <w:ind w:left="714" w:hanging="357"/>
        <w:rPr>
          <w:rFonts w:eastAsia="Calibri" w:cs="Arial"/>
        </w:rPr>
      </w:pPr>
      <w:r>
        <w:rPr>
          <w:rFonts w:eastAsia="Calibri" w:cs="Arial"/>
        </w:rPr>
        <w:t>Assist young people of post-compulsory school age to engage in alternative education, training and employment options including apprenticeship and traineeship opportunities or tertiary education, and referral to appropriate education, training and employment providers.</w:t>
      </w:r>
    </w:p>
    <w:p w14:paraId="2501622B" w14:textId="77777777" w:rsidR="007568B1" w:rsidRDefault="007568B1" w:rsidP="00C342EE">
      <w:pPr>
        <w:numPr>
          <w:ilvl w:val="0"/>
          <w:numId w:val="25"/>
        </w:numPr>
        <w:spacing w:before="0" w:line="240" w:lineRule="auto"/>
        <w:ind w:left="714" w:hanging="357"/>
        <w:rPr>
          <w:rFonts w:eastAsia="Calibri" w:cs="Arial"/>
        </w:rPr>
      </w:pPr>
      <w:r>
        <w:rPr>
          <w:rFonts w:eastAsia="Calibri" w:cs="Arial"/>
        </w:rPr>
        <w:t>Undertake early intervention approaches to retain students at risk of disengagement including referral to community learning, mentoring programs, counselling services, and highlighting the importance of education in gaining employment.</w:t>
      </w:r>
    </w:p>
    <w:p w14:paraId="411FC371" w14:textId="64D96783" w:rsidR="007568B1" w:rsidRDefault="007568B1" w:rsidP="007568B1">
      <w:pPr>
        <w:rPr>
          <w:rFonts w:asciiTheme="minorHAnsi" w:eastAsiaTheme="minorHAnsi" w:hAnsiTheme="minorHAnsi" w:cs="Arial"/>
          <w:b/>
        </w:rPr>
      </w:pPr>
      <w:r>
        <w:rPr>
          <w:b/>
        </w:rPr>
        <w:t>Facilitating Eng</w:t>
      </w:r>
      <w:r w:rsidR="008C7AE5">
        <w:rPr>
          <w:b/>
        </w:rPr>
        <w:t>lish acquisition and access to language s</w:t>
      </w:r>
      <w:r>
        <w:rPr>
          <w:b/>
        </w:rPr>
        <w:t>ervices</w:t>
      </w:r>
    </w:p>
    <w:p w14:paraId="7A99AC40" w14:textId="77777777" w:rsidR="007568B1" w:rsidRDefault="007568B1" w:rsidP="007568B1">
      <w:pPr>
        <w:spacing w:before="0" w:line="240" w:lineRule="auto"/>
        <w:rPr>
          <w:rFonts w:eastAsia="Calibri" w:cs="Arial"/>
        </w:rPr>
      </w:pPr>
      <w:r>
        <w:rPr>
          <w:rFonts w:eastAsia="Calibri" w:cs="Arial"/>
        </w:rPr>
        <w:t xml:space="preserve">SETS does not fund English language training, rather it supports the acquisition of English language skills. SETS </w:t>
      </w:r>
      <w:r>
        <w:rPr>
          <w:rFonts w:eastAsia="Calibri" w:cs="Arial"/>
        </w:rPr>
        <w:noBreakHyphen/>
        <w:t xml:space="preserve"> Client Services activities may include:</w:t>
      </w:r>
    </w:p>
    <w:p w14:paraId="74720A29" w14:textId="77777777" w:rsidR="007568B1" w:rsidRDefault="007568B1" w:rsidP="00C342EE">
      <w:pPr>
        <w:numPr>
          <w:ilvl w:val="0"/>
          <w:numId w:val="25"/>
        </w:numPr>
        <w:spacing w:before="0" w:line="240" w:lineRule="auto"/>
        <w:ind w:left="720"/>
        <w:rPr>
          <w:rFonts w:eastAsia="Calibri" w:cs="Arial"/>
        </w:rPr>
      </w:pPr>
      <w:r>
        <w:rPr>
          <w:rFonts w:eastAsia="Calibri" w:cs="Arial"/>
        </w:rPr>
        <w:t>Reinforcing the value of utilising English language classes, including awareness of available English language programs, how to access them and the importance of regular attendance.</w:t>
      </w:r>
    </w:p>
    <w:p w14:paraId="55FCAAEC" w14:textId="77777777" w:rsidR="007568B1" w:rsidRDefault="007568B1" w:rsidP="00C342EE">
      <w:pPr>
        <w:numPr>
          <w:ilvl w:val="0"/>
          <w:numId w:val="25"/>
        </w:numPr>
        <w:spacing w:before="0" w:line="240" w:lineRule="auto"/>
        <w:ind w:left="720"/>
        <w:rPr>
          <w:rFonts w:eastAsia="Calibri" w:cs="Arial"/>
        </w:rPr>
      </w:pPr>
      <w:r>
        <w:rPr>
          <w:rFonts w:eastAsia="Calibri" w:cs="Arial"/>
        </w:rPr>
        <w:t>Opportunities to practice English skills in group work, conversational and practical settings.</w:t>
      </w:r>
    </w:p>
    <w:p w14:paraId="59360C74" w14:textId="77777777" w:rsidR="007568B1" w:rsidRDefault="007568B1" w:rsidP="00C342EE">
      <w:pPr>
        <w:numPr>
          <w:ilvl w:val="0"/>
          <w:numId w:val="25"/>
        </w:numPr>
        <w:spacing w:before="0" w:line="240" w:lineRule="auto"/>
        <w:ind w:left="720"/>
        <w:rPr>
          <w:rFonts w:eastAsia="Calibri" w:cs="Arial"/>
        </w:rPr>
      </w:pPr>
      <w:r>
        <w:rPr>
          <w:rFonts w:eastAsia="Calibri" w:cs="Arial"/>
        </w:rPr>
        <w:t>Referral to the Adult Migrant English Program (AMEP), the Skills for Education and Employment (SEE) program and/or other suitable programs, and support to remain engaged.</w:t>
      </w:r>
    </w:p>
    <w:p w14:paraId="0988AD7D" w14:textId="77777777" w:rsidR="007568B1" w:rsidRDefault="007568B1" w:rsidP="00C342EE">
      <w:pPr>
        <w:numPr>
          <w:ilvl w:val="0"/>
          <w:numId w:val="25"/>
        </w:numPr>
        <w:spacing w:before="0" w:line="240" w:lineRule="auto"/>
        <w:ind w:left="720"/>
        <w:rPr>
          <w:rFonts w:eastAsia="Calibri" w:cs="Arial"/>
          <w:color w:val="000000"/>
        </w:rPr>
      </w:pPr>
      <w:r>
        <w:rPr>
          <w:rFonts w:eastAsia="Calibri" w:cs="Arial"/>
          <w:color w:val="000000"/>
        </w:rPr>
        <w:t>Information on the availability of interpreting and translation services and how to access these.</w:t>
      </w:r>
    </w:p>
    <w:p w14:paraId="5B7444BD" w14:textId="77777777" w:rsidR="007568B1" w:rsidRDefault="007568B1" w:rsidP="007568B1">
      <w:pPr>
        <w:spacing w:before="0" w:line="440" w:lineRule="atLeast"/>
        <w:rPr>
          <w:rFonts w:asciiTheme="minorHAnsi" w:eastAsiaTheme="minorHAnsi" w:hAnsiTheme="minorHAnsi" w:cstheme="minorBidi"/>
          <w:b/>
        </w:rPr>
      </w:pPr>
      <w:r>
        <w:rPr>
          <w:b/>
        </w:rPr>
        <w:t xml:space="preserve">Employment </w:t>
      </w:r>
    </w:p>
    <w:p w14:paraId="167DE692" w14:textId="77777777" w:rsidR="007568B1" w:rsidRDefault="007568B1" w:rsidP="007568B1">
      <w:pPr>
        <w:keepNext/>
        <w:spacing w:before="0" w:line="240" w:lineRule="auto"/>
        <w:rPr>
          <w:rFonts w:eastAsia="Calibri" w:cs="Arial"/>
        </w:rPr>
      </w:pPr>
      <w:r>
        <w:rPr>
          <w:rFonts w:eastAsia="Calibri" w:cs="Arial"/>
        </w:rPr>
        <w:t xml:space="preserve">Appropriate SETS </w:t>
      </w:r>
      <w:r>
        <w:rPr>
          <w:rFonts w:eastAsia="Calibri" w:cs="Arial"/>
        </w:rPr>
        <w:noBreakHyphen/>
        <w:t xml:space="preserve"> Client Services activities may include providing information on:</w:t>
      </w:r>
    </w:p>
    <w:p w14:paraId="770335B2" w14:textId="77777777" w:rsidR="007568B1" w:rsidRDefault="007568B1" w:rsidP="00C342EE">
      <w:pPr>
        <w:keepLines/>
        <w:numPr>
          <w:ilvl w:val="0"/>
          <w:numId w:val="25"/>
        </w:numPr>
        <w:spacing w:before="0" w:line="240" w:lineRule="auto"/>
        <w:ind w:left="714" w:hanging="357"/>
        <w:rPr>
          <w:rFonts w:eastAsia="Calibri" w:cs="Arial"/>
        </w:rPr>
      </w:pPr>
      <w:r>
        <w:rPr>
          <w:rFonts w:eastAsia="Calibri" w:cs="Arial"/>
        </w:rPr>
        <w:t>Suitable employment readiness programs to improve employment outcomes, including orientation to work, job searching and applying for jobs, preparing resumes and responses to selection criteria, interview techniques, workshops, and advice on suitable workplace attire.</w:t>
      </w:r>
    </w:p>
    <w:p w14:paraId="512FD284" w14:textId="77777777" w:rsidR="007568B1" w:rsidRDefault="007568B1" w:rsidP="00C342EE">
      <w:pPr>
        <w:numPr>
          <w:ilvl w:val="0"/>
          <w:numId w:val="25"/>
        </w:numPr>
        <w:spacing w:before="0" w:line="240" w:lineRule="auto"/>
        <w:ind w:left="720"/>
        <w:rPr>
          <w:rFonts w:eastAsia="Calibri" w:cs="Arial"/>
        </w:rPr>
      </w:pPr>
      <w:r>
        <w:rPr>
          <w:rFonts w:eastAsia="Calibri" w:cs="Arial"/>
        </w:rPr>
        <w:t>Access to coaching, mentoring programs, career advice, pre-vocational training, bridging courses and work experience opportunities.</w:t>
      </w:r>
    </w:p>
    <w:p w14:paraId="32ABFEAD" w14:textId="77777777" w:rsidR="007568B1" w:rsidRDefault="007568B1" w:rsidP="00C342EE">
      <w:pPr>
        <w:numPr>
          <w:ilvl w:val="0"/>
          <w:numId w:val="25"/>
        </w:numPr>
        <w:spacing w:before="0" w:line="240" w:lineRule="auto"/>
        <w:ind w:left="720"/>
        <w:rPr>
          <w:rFonts w:eastAsia="Calibri" w:cs="Arial"/>
        </w:rPr>
      </w:pPr>
      <w:r>
        <w:rPr>
          <w:rFonts w:eastAsia="Calibri" w:cs="Arial"/>
        </w:rPr>
        <w:t>Information about point of access for overseas skills/qualifications recognition.</w:t>
      </w:r>
    </w:p>
    <w:p w14:paraId="0B55FBD5" w14:textId="77777777" w:rsidR="007568B1" w:rsidRDefault="007568B1" w:rsidP="00C342EE">
      <w:pPr>
        <w:numPr>
          <w:ilvl w:val="0"/>
          <w:numId w:val="25"/>
        </w:numPr>
        <w:spacing w:before="0" w:line="240" w:lineRule="auto"/>
        <w:ind w:left="720"/>
        <w:rPr>
          <w:rFonts w:eastAsia="Calibri" w:cs="Arial"/>
        </w:rPr>
      </w:pPr>
      <w:r>
        <w:rPr>
          <w:rFonts w:eastAsia="Calibri" w:cs="Arial"/>
        </w:rPr>
        <w:t>Information about Australian workplace systems and culture, including rights and responsibilities in the workplace, occupational health and safety practices, recruitment practices and the importance of reporting earnings to the Australian Tax Office and Centrelink.</w:t>
      </w:r>
    </w:p>
    <w:p w14:paraId="7CAACAB4" w14:textId="77777777" w:rsidR="007568B1" w:rsidRDefault="007568B1" w:rsidP="00C342EE">
      <w:pPr>
        <w:numPr>
          <w:ilvl w:val="0"/>
          <w:numId w:val="25"/>
        </w:numPr>
        <w:spacing w:before="0" w:line="240" w:lineRule="auto"/>
        <w:ind w:left="720"/>
        <w:rPr>
          <w:rFonts w:eastAsia="Calibri" w:cs="Arial"/>
        </w:rPr>
      </w:pPr>
      <w:r>
        <w:rPr>
          <w:rFonts w:eastAsia="Calibri" w:cs="Arial"/>
        </w:rPr>
        <w:t>Success stories of pathways/outcomes for humanitarian entrants in employment including information on work experience placements, internships and volunteering.</w:t>
      </w:r>
    </w:p>
    <w:p w14:paraId="3F2F61AA" w14:textId="77777777" w:rsidR="007568B1" w:rsidRDefault="007568B1" w:rsidP="00C342EE">
      <w:pPr>
        <w:numPr>
          <w:ilvl w:val="0"/>
          <w:numId w:val="25"/>
        </w:numPr>
        <w:spacing w:before="0" w:line="240" w:lineRule="auto"/>
        <w:ind w:left="720"/>
        <w:rPr>
          <w:rFonts w:eastAsia="Calibri" w:cs="Arial"/>
        </w:rPr>
      </w:pPr>
      <w:r>
        <w:rPr>
          <w:rFonts w:eastAsia="Calibri" w:cs="Arial"/>
        </w:rPr>
        <w:t>Encouraging career counselling or advice to assist people in choosing a realistic career path and pursuing appropriate educational, training and work experience opportunities.</w:t>
      </w:r>
    </w:p>
    <w:p w14:paraId="17C27D6B" w14:textId="77777777" w:rsidR="007568B1" w:rsidRDefault="007568B1" w:rsidP="00C342EE">
      <w:pPr>
        <w:numPr>
          <w:ilvl w:val="0"/>
          <w:numId w:val="25"/>
        </w:numPr>
        <w:spacing w:before="0" w:line="240" w:lineRule="auto"/>
        <w:ind w:left="720"/>
        <w:rPr>
          <w:rFonts w:eastAsia="Calibri" w:cs="Arial"/>
        </w:rPr>
      </w:pPr>
      <w:r>
        <w:rPr>
          <w:rFonts w:eastAsia="Calibri" w:cs="Arial"/>
        </w:rPr>
        <w:lastRenderedPageBreak/>
        <w:t>Information and support to access mainstream employment providers, such as jobactive, or other employment agencies.</w:t>
      </w:r>
    </w:p>
    <w:p w14:paraId="1B52305D" w14:textId="77777777" w:rsidR="007568B1" w:rsidRDefault="007568B1" w:rsidP="007568B1">
      <w:pPr>
        <w:rPr>
          <w:rFonts w:asciiTheme="minorHAnsi" w:eastAsiaTheme="minorHAnsi" w:hAnsiTheme="minorHAnsi" w:cs="Arial"/>
          <w:b/>
        </w:rPr>
      </w:pPr>
      <w:r>
        <w:rPr>
          <w:b/>
        </w:rPr>
        <w:t>Housing</w:t>
      </w:r>
    </w:p>
    <w:p w14:paraId="3B1625FE" w14:textId="77777777" w:rsidR="007568B1" w:rsidRDefault="007568B1" w:rsidP="007568B1">
      <w:pPr>
        <w:spacing w:before="0" w:line="240" w:lineRule="auto"/>
        <w:rPr>
          <w:rFonts w:eastAsia="Calibri" w:cs="Arial"/>
        </w:rPr>
      </w:pPr>
      <w:r>
        <w:rPr>
          <w:rFonts w:eastAsia="Calibri" w:cs="Arial"/>
        </w:rPr>
        <w:t xml:space="preserve">SETS </w:t>
      </w:r>
      <w:r>
        <w:rPr>
          <w:rFonts w:eastAsia="Calibri" w:cs="Arial"/>
        </w:rPr>
        <w:noBreakHyphen/>
        <w:t xml:space="preserve"> Client Services activities may include:</w:t>
      </w:r>
    </w:p>
    <w:p w14:paraId="5BBC62AE" w14:textId="77777777" w:rsidR="007568B1" w:rsidRDefault="007568B1" w:rsidP="00C342EE">
      <w:pPr>
        <w:numPr>
          <w:ilvl w:val="0"/>
          <w:numId w:val="25"/>
        </w:numPr>
        <w:spacing w:before="0" w:line="240" w:lineRule="auto"/>
        <w:ind w:left="720"/>
        <w:rPr>
          <w:rFonts w:eastAsia="Calibri" w:cs="Arial"/>
        </w:rPr>
      </w:pPr>
      <w:r>
        <w:rPr>
          <w:rFonts w:eastAsia="Calibri" w:cs="Arial"/>
        </w:rPr>
        <w:t>Information on realistic housing options to manage expectations of housing affordability.</w:t>
      </w:r>
    </w:p>
    <w:p w14:paraId="65228C25" w14:textId="77777777" w:rsidR="007568B1" w:rsidRDefault="007568B1" w:rsidP="00C342EE">
      <w:pPr>
        <w:numPr>
          <w:ilvl w:val="0"/>
          <w:numId w:val="25"/>
        </w:numPr>
        <w:spacing w:before="0" w:line="240" w:lineRule="auto"/>
        <w:ind w:left="720"/>
        <w:rPr>
          <w:rFonts w:eastAsia="Calibri" w:cs="Arial"/>
        </w:rPr>
      </w:pPr>
      <w:r>
        <w:rPr>
          <w:rFonts w:eastAsia="Calibri" w:cs="Arial"/>
        </w:rPr>
        <w:t>Housing support services including how to apply for public housing, forms assistance, how to interact with real estate agents and how to secure rental accommodation.</w:t>
      </w:r>
    </w:p>
    <w:p w14:paraId="79674699" w14:textId="77777777" w:rsidR="007568B1" w:rsidRDefault="007568B1" w:rsidP="00C342EE">
      <w:pPr>
        <w:numPr>
          <w:ilvl w:val="0"/>
          <w:numId w:val="25"/>
        </w:numPr>
        <w:spacing w:before="0" w:line="240" w:lineRule="auto"/>
        <w:ind w:left="720"/>
        <w:rPr>
          <w:rFonts w:eastAsia="Calibri" w:cs="Arial"/>
        </w:rPr>
      </w:pPr>
      <w:r>
        <w:rPr>
          <w:rFonts w:eastAsia="Calibri" w:cs="Arial"/>
        </w:rPr>
        <w:t>Information on tenancy rights and responsibilities and tenant obligations (including property maintenance, budgeting skills to manage rental payments, bond deposit and recovery, understanding lease agreements including consequences of late rental payments or breaking a lease agreement).</w:t>
      </w:r>
    </w:p>
    <w:p w14:paraId="0A0C4FA6" w14:textId="77777777" w:rsidR="007568B1" w:rsidRDefault="007568B1" w:rsidP="007568B1">
      <w:pPr>
        <w:rPr>
          <w:rFonts w:asciiTheme="minorHAnsi" w:eastAsia="Calibri" w:hAnsiTheme="minorHAnsi" w:cs="Arial"/>
          <w:b/>
        </w:rPr>
      </w:pPr>
      <w:r>
        <w:rPr>
          <w:b/>
        </w:rPr>
        <w:t>Health and Wellbeing</w:t>
      </w:r>
    </w:p>
    <w:p w14:paraId="155854B8" w14:textId="77777777" w:rsidR="007568B1" w:rsidRDefault="007568B1" w:rsidP="007568B1">
      <w:pPr>
        <w:spacing w:before="0" w:line="240" w:lineRule="auto"/>
        <w:rPr>
          <w:rFonts w:eastAsia="Calibri" w:cs="Arial"/>
        </w:rPr>
      </w:pPr>
      <w:r>
        <w:rPr>
          <w:rFonts w:eastAsia="Calibri" w:cs="Arial"/>
        </w:rPr>
        <w:t xml:space="preserve">SETS providers are not funded to provide medical assistance or advice, or to provide counselling services. However, SETS </w:t>
      </w:r>
      <w:r>
        <w:rPr>
          <w:rFonts w:eastAsia="Calibri" w:cs="Arial"/>
        </w:rPr>
        <w:noBreakHyphen/>
        <w:t xml:space="preserve"> Client Services activities may include:</w:t>
      </w:r>
    </w:p>
    <w:p w14:paraId="78B6E045" w14:textId="77777777" w:rsidR="007568B1" w:rsidRDefault="007568B1" w:rsidP="00C342EE">
      <w:pPr>
        <w:numPr>
          <w:ilvl w:val="0"/>
          <w:numId w:val="25"/>
        </w:numPr>
        <w:spacing w:before="0" w:line="240" w:lineRule="auto"/>
        <w:ind w:left="720"/>
        <w:rPr>
          <w:rFonts w:eastAsia="Calibri" w:cs="Arial"/>
        </w:rPr>
      </w:pPr>
      <w:r>
        <w:rPr>
          <w:rFonts w:eastAsia="Calibri" w:cs="Arial"/>
        </w:rPr>
        <w:t>Promoting an understanding of the Australian health system (including Medicare and the Pharmaceutical Benefits Scheme), emergency and ambulance services, the difference between general practitioners and specialists, medical documentation including immunisation history, and disability support services (including pensions).</w:t>
      </w:r>
    </w:p>
    <w:p w14:paraId="1AC6B792" w14:textId="77777777" w:rsidR="007568B1" w:rsidRDefault="007568B1" w:rsidP="00C342EE">
      <w:pPr>
        <w:numPr>
          <w:ilvl w:val="0"/>
          <w:numId w:val="25"/>
        </w:numPr>
        <w:spacing w:before="0" w:line="240" w:lineRule="auto"/>
        <w:ind w:left="720"/>
        <w:rPr>
          <w:rFonts w:eastAsia="Calibri" w:cs="Arial"/>
        </w:rPr>
      </w:pPr>
      <w:r>
        <w:rPr>
          <w:rFonts w:eastAsia="Calibri" w:cs="Arial"/>
        </w:rPr>
        <w:t>Mental health issues, accessing appropriate counselling services, including torture and trauma and psychological services.</w:t>
      </w:r>
    </w:p>
    <w:p w14:paraId="547D234C" w14:textId="77777777" w:rsidR="007568B1" w:rsidRDefault="007568B1" w:rsidP="00C342EE">
      <w:pPr>
        <w:numPr>
          <w:ilvl w:val="0"/>
          <w:numId w:val="25"/>
        </w:numPr>
        <w:spacing w:before="0" w:line="240" w:lineRule="auto"/>
        <w:ind w:left="720"/>
        <w:rPr>
          <w:rFonts w:eastAsia="Calibri" w:cs="Arial"/>
        </w:rPr>
      </w:pPr>
      <w:r>
        <w:rPr>
          <w:rFonts w:eastAsia="Calibri" w:cs="Arial"/>
        </w:rPr>
        <w:t xml:space="preserve">Targeted education on health issues for specific groups (particularly women and young people) on key topics. </w:t>
      </w:r>
    </w:p>
    <w:p w14:paraId="5FBFEA7B" w14:textId="77777777" w:rsidR="007568B1" w:rsidRDefault="007568B1" w:rsidP="007568B1">
      <w:pPr>
        <w:rPr>
          <w:rFonts w:asciiTheme="minorHAnsi" w:eastAsiaTheme="minorHAnsi" w:hAnsiTheme="minorHAnsi" w:cstheme="minorBidi"/>
          <w:b/>
        </w:rPr>
      </w:pPr>
      <w:r>
        <w:rPr>
          <w:b/>
        </w:rPr>
        <w:t xml:space="preserve">Family and Social Support </w:t>
      </w:r>
    </w:p>
    <w:p w14:paraId="609362A6" w14:textId="77777777" w:rsidR="007568B1" w:rsidRDefault="007568B1" w:rsidP="007568B1">
      <w:pPr>
        <w:spacing w:before="0" w:line="240" w:lineRule="auto"/>
        <w:rPr>
          <w:rFonts w:eastAsia="Calibri" w:cs="Arial"/>
        </w:rPr>
      </w:pPr>
      <w:r>
        <w:rPr>
          <w:rFonts w:eastAsia="Calibri" w:cs="Arial"/>
        </w:rPr>
        <w:t xml:space="preserve">SETS does not fund organisations to provide specialist counselling services. However, SETS </w:t>
      </w:r>
      <w:r>
        <w:rPr>
          <w:rFonts w:eastAsia="Calibri" w:cs="Arial"/>
        </w:rPr>
        <w:noBreakHyphen/>
        <w:t xml:space="preserve"> Client Services activities may include casework and the provision of information, advice, advocacy, referral and group information on:</w:t>
      </w:r>
    </w:p>
    <w:p w14:paraId="113C5EB6" w14:textId="77777777" w:rsidR="007568B1" w:rsidRDefault="007568B1" w:rsidP="00C342EE">
      <w:pPr>
        <w:numPr>
          <w:ilvl w:val="0"/>
          <w:numId w:val="25"/>
        </w:numPr>
        <w:spacing w:before="0" w:line="240" w:lineRule="auto"/>
        <w:ind w:left="720"/>
        <w:rPr>
          <w:rFonts w:eastAsia="Calibri" w:cs="Arial"/>
        </w:rPr>
      </w:pPr>
      <w:r>
        <w:rPr>
          <w:rFonts w:eastAsia="Calibri" w:cs="Arial"/>
        </w:rPr>
        <w:t>Mainstream services that provide early intervention workshops regarding parenting, family or gender roles, family relationships and intergenerational conflict, rights and obligations under Australian law.</w:t>
      </w:r>
    </w:p>
    <w:p w14:paraId="540A2EE1" w14:textId="77777777" w:rsidR="007568B1" w:rsidRDefault="007568B1" w:rsidP="00C342EE">
      <w:pPr>
        <w:numPr>
          <w:ilvl w:val="0"/>
          <w:numId w:val="25"/>
        </w:numPr>
        <w:spacing w:before="0" w:line="240" w:lineRule="auto"/>
        <w:ind w:left="720"/>
        <w:rPr>
          <w:rFonts w:eastAsia="Calibri" w:cs="Arial"/>
        </w:rPr>
      </w:pPr>
      <w:r>
        <w:rPr>
          <w:rFonts w:eastAsia="Calibri" w:cs="Arial"/>
        </w:rPr>
        <w:t>Appropriate specialist counselling services including culturally-appropriate and specific family mediation, information and support.</w:t>
      </w:r>
    </w:p>
    <w:p w14:paraId="25B54183" w14:textId="77777777" w:rsidR="007568B1" w:rsidRDefault="007568B1" w:rsidP="00C342EE">
      <w:pPr>
        <w:numPr>
          <w:ilvl w:val="0"/>
          <w:numId w:val="25"/>
        </w:numPr>
        <w:spacing w:before="0" w:line="240" w:lineRule="auto"/>
        <w:ind w:left="720"/>
        <w:rPr>
          <w:rFonts w:eastAsia="Calibri" w:cs="Arial"/>
        </w:rPr>
      </w:pPr>
      <w:r>
        <w:rPr>
          <w:rFonts w:eastAsia="Calibri" w:cs="Arial"/>
        </w:rPr>
        <w:t>Groups that provide social support, such as men’s, women’s or parenting groups.</w:t>
      </w:r>
    </w:p>
    <w:p w14:paraId="359EF4EA" w14:textId="77777777" w:rsidR="007568B1" w:rsidRDefault="007568B1" w:rsidP="00C342EE">
      <w:pPr>
        <w:numPr>
          <w:ilvl w:val="0"/>
          <w:numId w:val="25"/>
        </w:numPr>
        <w:spacing w:before="0" w:line="240" w:lineRule="auto"/>
        <w:ind w:left="720"/>
        <w:rPr>
          <w:rFonts w:eastAsia="Calibri" w:cs="Arial"/>
        </w:rPr>
      </w:pPr>
      <w:r>
        <w:rPr>
          <w:rFonts w:eastAsia="Calibri" w:cs="Arial"/>
        </w:rPr>
        <w:t>Programs for newly arrived youth that explore rights and responsibilities, and cultural orientation in Australia, providing the opportunities for young people to express themselves and build peer support networks.</w:t>
      </w:r>
    </w:p>
    <w:p w14:paraId="2E2682EF" w14:textId="77777777" w:rsidR="007568B1" w:rsidRDefault="007568B1" w:rsidP="00C342EE">
      <w:pPr>
        <w:numPr>
          <w:ilvl w:val="0"/>
          <w:numId w:val="25"/>
        </w:numPr>
        <w:spacing w:before="0" w:line="240" w:lineRule="auto"/>
        <w:ind w:left="720"/>
        <w:rPr>
          <w:rFonts w:eastAsia="Calibri" w:cs="Arial"/>
        </w:rPr>
      </w:pPr>
      <w:r>
        <w:rPr>
          <w:rFonts w:eastAsia="Calibri" w:cs="Arial"/>
        </w:rPr>
        <w:t>In cases of family conflict, information about legal issues and the roles of police and courts, Australia’s family law provisions and the role of child protection agencies.</w:t>
      </w:r>
    </w:p>
    <w:p w14:paraId="1679E112" w14:textId="77777777" w:rsidR="007568B1" w:rsidRDefault="007568B1" w:rsidP="007568B1">
      <w:pPr>
        <w:rPr>
          <w:rFonts w:asciiTheme="minorHAnsi" w:eastAsiaTheme="minorHAnsi" w:hAnsiTheme="minorHAnsi" w:cs="Arial"/>
          <w:b/>
        </w:rPr>
      </w:pPr>
      <w:r>
        <w:rPr>
          <w:b/>
        </w:rPr>
        <w:t>Transport</w:t>
      </w:r>
    </w:p>
    <w:p w14:paraId="5CBC25A3" w14:textId="77777777" w:rsidR="007568B1" w:rsidRDefault="007568B1" w:rsidP="007568B1">
      <w:pPr>
        <w:keepNext/>
        <w:spacing w:before="0" w:line="240" w:lineRule="auto"/>
        <w:rPr>
          <w:rFonts w:eastAsia="Calibri" w:cs="Arial"/>
        </w:rPr>
      </w:pPr>
      <w:r>
        <w:rPr>
          <w:rFonts w:eastAsia="Calibri" w:cs="Arial"/>
        </w:rPr>
        <w:t xml:space="preserve">SETS </w:t>
      </w:r>
      <w:r>
        <w:rPr>
          <w:rFonts w:eastAsia="Calibri" w:cs="Arial"/>
        </w:rPr>
        <w:noBreakHyphen/>
        <w:t xml:space="preserve"> Client Services activities may include providing information, advice and group information on:</w:t>
      </w:r>
    </w:p>
    <w:p w14:paraId="38FCBD99" w14:textId="77777777" w:rsidR="007568B1" w:rsidRDefault="007568B1" w:rsidP="00C342EE">
      <w:pPr>
        <w:numPr>
          <w:ilvl w:val="0"/>
          <w:numId w:val="25"/>
        </w:numPr>
        <w:spacing w:before="0" w:line="240" w:lineRule="auto"/>
        <w:ind w:left="720"/>
        <w:rPr>
          <w:rFonts w:eastAsia="Calibri" w:cs="Arial"/>
        </w:rPr>
      </w:pPr>
      <w:r>
        <w:rPr>
          <w:rFonts w:eastAsia="Calibri" w:cs="Arial"/>
        </w:rPr>
        <w:t>Using public transport or bicycles, reading maps, public transport timetables, purchasing tickets, navigating stations or bike paths, etc.</w:t>
      </w:r>
    </w:p>
    <w:p w14:paraId="53027930" w14:textId="77777777" w:rsidR="007568B1" w:rsidRDefault="007568B1" w:rsidP="00C342EE">
      <w:pPr>
        <w:numPr>
          <w:ilvl w:val="0"/>
          <w:numId w:val="25"/>
        </w:numPr>
        <w:spacing w:before="0" w:line="240" w:lineRule="auto"/>
        <w:ind w:left="720"/>
        <w:rPr>
          <w:rFonts w:eastAsia="Calibri" w:cs="Arial"/>
        </w:rPr>
      </w:pPr>
      <w:r>
        <w:rPr>
          <w:rFonts w:eastAsia="Calibri" w:cs="Arial"/>
        </w:rPr>
        <w:t>Obtaining a driver’s license, the use of driving instructors and driving programs, and licence laws.</w:t>
      </w:r>
    </w:p>
    <w:p w14:paraId="20F001C7" w14:textId="77777777" w:rsidR="007568B1" w:rsidRDefault="007568B1" w:rsidP="00C342EE">
      <w:pPr>
        <w:numPr>
          <w:ilvl w:val="0"/>
          <w:numId w:val="25"/>
        </w:numPr>
        <w:spacing w:before="0" w:line="240" w:lineRule="auto"/>
        <w:ind w:left="720"/>
        <w:rPr>
          <w:rFonts w:eastAsia="Calibri" w:cs="Arial"/>
        </w:rPr>
      </w:pPr>
      <w:r>
        <w:rPr>
          <w:rFonts w:eastAsia="Calibri" w:cs="Arial"/>
        </w:rPr>
        <w:t>Obtaining a vehicle, the rights and responsibilities of vehicle ownership including registration requirements and the importance of having appropriate insurance in the case of accidents or theft.</w:t>
      </w:r>
    </w:p>
    <w:p w14:paraId="3280F2E1" w14:textId="77777777" w:rsidR="007568B1" w:rsidRDefault="007568B1" w:rsidP="00C342EE">
      <w:pPr>
        <w:numPr>
          <w:ilvl w:val="0"/>
          <w:numId w:val="25"/>
        </w:numPr>
        <w:spacing w:before="0" w:line="240" w:lineRule="auto"/>
        <w:ind w:left="720"/>
        <w:rPr>
          <w:rFonts w:eastAsia="Calibri" w:cs="Arial"/>
        </w:rPr>
      </w:pPr>
      <w:r>
        <w:rPr>
          <w:rFonts w:eastAsia="Calibri" w:cs="Arial"/>
        </w:rPr>
        <w:lastRenderedPageBreak/>
        <w:t>Road rules and road safety, both for pedestrians and drivers.</w:t>
      </w:r>
    </w:p>
    <w:p w14:paraId="17F27570" w14:textId="6A0699E9" w:rsidR="007568B1" w:rsidRDefault="008C7AE5" w:rsidP="007568B1">
      <w:pPr>
        <w:rPr>
          <w:rFonts w:asciiTheme="minorHAnsi" w:eastAsiaTheme="minorHAnsi" w:hAnsiTheme="minorHAnsi" w:cs="Arial"/>
          <w:b/>
        </w:rPr>
      </w:pPr>
      <w:r>
        <w:rPr>
          <w:b/>
        </w:rPr>
        <w:t>Civic p</w:t>
      </w:r>
      <w:r w:rsidR="007568B1">
        <w:rPr>
          <w:b/>
        </w:rPr>
        <w:t>articipation</w:t>
      </w:r>
    </w:p>
    <w:p w14:paraId="4B8FF90B" w14:textId="77777777" w:rsidR="007568B1" w:rsidRDefault="007568B1" w:rsidP="007568B1">
      <w:pPr>
        <w:keepLines/>
        <w:spacing w:before="0" w:line="240" w:lineRule="auto"/>
        <w:rPr>
          <w:rFonts w:eastAsia="Calibri" w:cs="Arial"/>
        </w:rPr>
      </w:pPr>
      <w:r>
        <w:rPr>
          <w:rFonts w:eastAsia="Calibri" w:cs="Arial"/>
        </w:rPr>
        <w:t xml:space="preserve">Activities under SETS aim to connect new arrivals to communities and should focus on assisting individuals and building the capacity of newly arrived communities to work together toward common goals, promote their culture to Australian society in a positive way and welcome and assist new migrants. Appropriate SETS </w:t>
      </w:r>
      <w:r>
        <w:rPr>
          <w:rFonts w:eastAsia="Calibri" w:cs="Arial"/>
        </w:rPr>
        <w:noBreakHyphen/>
        <w:t xml:space="preserve"> Client Services activities may include:</w:t>
      </w:r>
    </w:p>
    <w:p w14:paraId="6D51ED0A" w14:textId="77777777" w:rsidR="007568B1" w:rsidRDefault="007568B1" w:rsidP="00C342EE">
      <w:pPr>
        <w:numPr>
          <w:ilvl w:val="0"/>
          <w:numId w:val="26"/>
        </w:numPr>
        <w:spacing w:before="0" w:line="240" w:lineRule="auto"/>
        <w:rPr>
          <w:rFonts w:eastAsia="Calibri" w:cs="Arial"/>
        </w:rPr>
      </w:pPr>
      <w:r>
        <w:rPr>
          <w:rFonts w:eastAsia="Calibri" w:cs="Arial"/>
        </w:rPr>
        <w:t>Assistance to help new arrivals make social connections.</w:t>
      </w:r>
    </w:p>
    <w:p w14:paraId="7AFF94DC" w14:textId="77777777" w:rsidR="007568B1" w:rsidRDefault="007568B1" w:rsidP="00C342EE">
      <w:pPr>
        <w:numPr>
          <w:ilvl w:val="0"/>
          <w:numId w:val="26"/>
        </w:numPr>
        <w:spacing w:before="0" w:line="240" w:lineRule="auto"/>
        <w:rPr>
          <w:rFonts w:eastAsia="Calibri" w:cs="Arial"/>
        </w:rPr>
      </w:pPr>
      <w:r>
        <w:rPr>
          <w:rFonts w:eastAsia="Calibri" w:cs="Arial"/>
        </w:rPr>
        <w:t>Assisting people interested in participating in their community to identify community issues and services as they relate to their interests and capabilities.</w:t>
      </w:r>
    </w:p>
    <w:p w14:paraId="39FEC26B" w14:textId="77777777" w:rsidR="007568B1" w:rsidRDefault="007568B1" w:rsidP="00C342EE">
      <w:pPr>
        <w:numPr>
          <w:ilvl w:val="0"/>
          <w:numId w:val="25"/>
        </w:numPr>
        <w:spacing w:before="0" w:line="240" w:lineRule="auto"/>
        <w:ind w:left="720"/>
        <w:rPr>
          <w:rFonts w:eastAsia="Calibri" w:cs="Arial"/>
        </w:rPr>
      </w:pPr>
      <w:r>
        <w:rPr>
          <w:rFonts w:eastAsia="Calibri" w:cs="Arial"/>
        </w:rPr>
        <w:t>Consulting with communities and assisting them to develop plans to help address their needs, for example, educating children of their cultural heritage or establishing a cultural centre.</w:t>
      </w:r>
    </w:p>
    <w:p w14:paraId="7D755E81" w14:textId="77777777" w:rsidR="007568B1" w:rsidRDefault="007568B1" w:rsidP="00C342EE">
      <w:pPr>
        <w:numPr>
          <w:ilvl w:val="0"/>
          <w:numId w:val="25"/>
        </w:numPr>
        <w:spacing w:before="0" w:line="240" w:lineRule="auto"/>
        <w:ind w:left="720"/>
        <w:rPr>
          <w:rFonts w:eastAsia="Calibri" w:cs="Arial"/>
        </w:rPr>
      </w:pPr>
      <w:r>
        <w:rPr>
          <w:rFonts w:eastAsia="Calibri" w:cs="Arial"/>
        </w:rPr>
        <w:t>Assisting migrants to access local community activities and organisations, such as sporting or social clubs, school parent associations or volunteering.</w:t>
      </w:r>
    </w:p>
    <w:p w14:paraId="1AB780B0" w14:textId="77777777" w:rsidR="007568B1" w:rsidRDefault="007568B1" w:rsidP="00C342EE">
      <w:pPr>
        <w:numPr>
          <w:ilvl w:val="0"/>
          <w:numId w:val="25"/>
        </w:numPr>
        <w:spacing w:before="0" w:line="240" w:lineRule="auto"/>
        <w:ind w:left="720"/>
        <w:rPr>
          <w:rFonts w:eastAsia="Calibri" w:cs="Arial"/>
        </w:rPr>
      </w:pPr>
      <w:r>
        <w:rPr>
          <w:rFonts w:eastAsia="Calibri" w:cs="Arial"/>
        </w:rPr>
        <w:t>Referring new migrants to existing support groups to decrease social isolation and increase interaction with other communities (e.g. cultural/historical excursions, multicultural cooking groups, men’s sheds, etc.).</w:t>
      </w:r>
    </w:p>
    <w:p w14:paraId="0CD0A34D" w14:textId="77777777" w:rsidR="007568B1" w:rsidRDefault="007568B1" w:rsidP="00C342EE">
      <w:pPr>
        <w:numPr>
          <w:ilvl w:val="0"/>
          <w:numId w:val="25"/>
        </w:numPr>
        <w:spacing w:before="0" w:line="240" w:lineRule="auto"/>
        <w:ind w:left="720"/>
        <w:rPr>
          <w:rFonts w:eastAsia="Calibri" w:cs="Arial"/>
        </w:rPr>
      </w:pPr>
      <w:r>
        <w:rPr>
          <w:rFonts w:eastAsia="Calibri" w:cs="Arial"/>
        </w:rPr>
        <w:t>Providing mentoring and training to community leaders or ethno-specific organisations.</w:t>
      </w:r>
    </w:p>
    <w:p w14:paraId="3B157FC3" w14:textId="77777777" w:rsidR="007568B1" w:rsidRDefault="007568B1" w:rsidP="007568B1">
      <w:pPr>
        <w:rPr>
          <w:rFonts w:asciiTheme="minorHAnsi" w:eastAsiaTheme="minorHAnsi" w:hAnsiTheme="minorHAnsi" w:cs="Arial"/>
          <w:b/>
        </w:rPr>
      </w:pPr>
      <w:r>
        <w:rPr>
          <w:b/>
        </w:rPr>
        <w:t>Justice</w:t>
      </w:r>
    </w:p>
    <w:p w14:paraId="42D33DEC" w14:textId="77777777" w:rsidR="007568B1" w:rsidRDefault="007568B1" w:rsidP="007568B1">
      <w:pPr>
        <w:spacing w:before="0" w:line="240" w:lineRule="auto"/>
        <w:rPr>
          <w:rFonts w:eastAsia="Calibri" w:cs="Arial"/>
        </w:rPr>
      </w:pPr>
      <w:r>
        <w:rPr>
          <w:rFonts w:eastAsia="Calibri" w:cs="Arial"/>
        </w:rPr>
        <w:t xml:space="preserve">Appropriate SETS </w:t>
      </w:r>
      <w:r>
        <w:rPr>
          <w:rFonts w:eastAsia="Calibri" w:cs="Arial"/>
        </w:rPr>
        <w:noBreakHyphen/>
        <w:t xml:space="preserve"> Client Services activities may include casework, providing referrals to legal services and providing information about:</w:t>
      </w:r>
    </w:p>
    <w:p w14:paraId="3CFB57A8" w14:textId="77777777" w:rsidR="007568B1" w:rsidRDefault="007568B1" w:rsidP="00C342EE">
      <w:pPr>
        <w:numPr>
          <w:ilvl w:val="0"/>
          <w:numId w:val="25"/>
        </w:numPr>
        <w:spacing w:before="0" w:line="240" w:lineRule="auto"/>
        <w:ind w:left="720"/>
        <w:rPr>
          <w:rFonts w:eastAsia="Calibri" w:cs="Arial"/>
        </w:rPr>
      </w:pPr>
      <w:r>
        <w:rPr>
          <w:rFonts w:eastAsia="Calibri" w:cs="Arial"/>
        </w:rPr>
        <w:t>Australia’s legal framework, Government systems, court proceedings, accessing legal representation and key justice agencies.</w:t>
      </w:r>
    </w:p>
    <w:p w14:paraId="115EA878" w14:textId="77777777" w:rsidR="007568B1" w:rsidRDefault="007568B1" w:rsidP="00C342EE">
      <w:pPr>
        <w:numPr>
          <w:ilvl w:val="0"/>
          <w:numId w:val="25"/>
        </w:numPr>
        <w:spacing w:before="0" w:line="240" w:lineRule="auto"/>
        <w:ind w:left="720"/>
        <w:rPr>
          <w:rFonts w:eastAsia="Calibri" w:cs="Arial"/>
        </w:rPr>
      </w:pPr>
      <w:r>
        <w:rPr>
          <w:rFonts w:eastAsia="Calibri" w:cs="Arial"/>
        </w:rPr>
        <w:t>Improving relations between migrants and law enforcement and justice workers (for example, police, protection workers, etc.) through cross-cultural training.</w:t>
      </w:r>
    </w:p>
    <w:p w14:paraId="7771AE4D" w14:textId="77777777" w:rsidR="007568B1" w:rsidRDefault="007568B1" w:rsidP="00C342EE">
      <w:pPr>
        <w:numPr>
          <w:ilvl w:val="0"/>
          <w:numId w:val="25"/>
        </w:numPr>
        <w:spacing w:before="0" w:line="240" w:lineRule="auto"/>
        <w:ind w:left="720"/>
        <w:rPr>
          <w:rFonts w:eastAsia="Calibri" w:cs="Arial"/>
        </w:rPr>
      </w:pPr>
      <w:r>
        <w:rPr>
          <w:rFonts w:eastAsia="Calibri" w:cs="Arial"/>
        </w:rPr>
        <w:t>Australian law, including information on a range of issues such as spouse abuse and domestic violence (including apprehended violence orders), family law issues including divorce and child protection legislation and child labour laws, legal aid and administrative law issues.</w:t>
      </w:r>
    </w:p>
    <w:p w14:paraId="5F38AE57" w14:textId="77777777" w:rsidR="007568B1" w:rsidRDefault="007568B1" w:rsidP="00C342EE">
      <w:pPr>
        <w:numPr>
          <w:ilvl w:val="0"/>
          <w:numId w:val="25"/>
        </w:numPr>
        <w:spacing w:before="0" w:line="240" w:lineRule="auto"/>
        <w:ind w:left="720"/>
        <w:rPr>
          <w:rFonts w:eastAsia="Calibri" w:cs="Arial"/>
        </w:rPr>
      </w:pPr>
      <w:r>
        <w:rPr>
          <w:rFonts w:eastAsia="Calibri" w:cs="Arial"/>
        </w:rPr>
        <w:t>Legal issues relating to private rental and public housing.</w:t>
      </w:r>
    </w:p>
    <w:p w14:paraId="1C852EE0" w14:textId="77777777" w:rsidR="007568B1" w:rsidRDefault="007568B1" w:rsidP="007568B1">
      <w:pPr>
        <w:pStyle w:val="Heading2Appendix"/>
        <w:rPr>
          <w:b/>
        </w:rPr>
      </w:pPr>
      <w:r>
        <w:rPr>
          <w:bCs w:val="0"/>
          <w:iCs w:val="0"/>
        </w:rPr>
        <w:br w:type="page"/>
      </w:r>
      <w:bookmarkStart w:id="161" w:name="_Toc535934174"/>
      <w:bookmarkStart w:id="162" w:name="_Toc535831181"/>
      <w:bookmarkStart w:id="163" w:name="_Toc3559270"/>
      <w:r>
        <w:lastRenderedPageBreak/>
        <w:t>Appendix B</w:t>
      </w:r>
      <w:bookmarkEnd w:id="161"/>
      <w:bookmarkEnd w:id="162"/>
      <w:bookmarkEnd w:id="163"/>
    </w:p>
    <w:p w14:paraId="3C641719" w14:textId="77777777" w:rsidR="007568B1" w:rsidRDefault="007568B1" w:rsidP="007568B1">
      <w:pPr>
        <w:spacing w:before="120"/>
        <w:rPr>
          <w:b/>
        </w:rPr>
      </w:pPr>
      <w:r>
        <w:rPr>
          <w:b/>
        </w:rPr>
        <w:t>SETS - Client Services objectives</w:t>
      </w:r>
    </w:p>
    <w:p w14:paraId="66D6FE1C" w14:textId="77777777" w:rsidR="007568B1" w:rsidRDefault="007568B1" w:rsidP="007568B1">
      <w:pPr>
        <w:spacing w:before="120"/>
      </w:pPr>
      <w:r>
        <w:t>The objective of SETS - Client Services is to equip humanitarian entrants and other vulnerable migrants in their first five years in Australia with the knowledge and skills to identify, understand and take action to address their identified settlement needs. The program has a focus on social participation, economic well-being, independence, personal well-being and community connectedness. SETS - Client services will deliver services in accordance with a needs-based approach.</w:t>
      </w:r>
    </w:p>
    <w:p w14:paraId="60DF64D1" w14:textId="77777777" w:rsidR="007568B1" w:rsidRPr="00775037" w:rsidRDefault="007568B1" w:rsidP="007568B1">
      <w:pPr>
        <w:spacing w:before="120"/>
      </w:pPr>
      <w:r>
        <w:t>Individual needs should typically be addressed through a needs assessment and the provision of high-quality casework. Support can range from low-intensity support, including basic information, assistance and referral for one-off issues</w:t>
      </w:r>
      <w:r w:rsidRPr="00775037">
        <w:t>, to medium-intensity intervention where multiple or complex issues are identified. Clients</w:t>
      </w:r>
      <w:r w:rsidRPr="00775037">
        <w:rPr>
          <w:vertAlign w:val="superscript"/>
        </w:rPr>
        <w:footnoteReference w:id="11"/>
      </w:r>
      <w:r w:rsidRPr="00775037">
        <w:t xml:space="preserve"> that may benefit from a more targeted medium-intensity approach include for example youth</w:t>
      </w:r>
      <w:r w:rsidRPr="00775037">
        <w:rPr>
          <w:vertAlign w:val="superscript"/>
        </w:rPr>
        <w:footnoteReference w:id="12"/>
      </w:r>
      <w:r w:rsidRPr="00775037">
        <w:t>, women, people with a disability and the elderly.</w:t>
      </w:r>
    </w:p>
    <w:p w14:paraId="752B8E4C" w14:textId="77777777" w:rsidR="007568B1" w:rsidRPr="00775037" w:rsidRDefault="007568B1" w:rsidP="007568B1">
      <w:pPr>
        <w:spacing w:before="120"/>
      </w:pPr>
      <w:r w:rsidRPr="00775037">
        <w:t>Clients will be provided with settlement-related information, advice, advocacy, and assistance to access mainstream and other relevant services. Individuals and families may also be provided high-quality casework to address issues arising during their settlement experience.</w:t>
      </w:r>
    </w:p>
    <w:p w14:paraId="22FEFACA" w14:textId="77777777" w:rsidR="007568B1" w:rsidRPr="00775037" w:rsidRDefault="007568B1" w:rsidP="007568B1">
      <w:pPr>
        <w:spacing w:before="120"/>
      </w:pPr>
      <w:r w:rsidRPr="00775037">
        <w:t>Services may include group-based activities such as workshops, information sessions and social groups that address life skills and/or information on any or all of the nine priority areas.</w:t>
      </w:r>
    </w:p>
    <w:p w14:paraId="2AE7D08E" w14:textId="77777777" w:rsidR="007568B1" w:rsidRPr="00775037" w:rsidRDefault="007568B1" w:rsidP="007568B1">
      <w:pPr>
        <w:spacing w:before="120"/>
      </w:pPr>
      <w:r w:rsidRPr="00775037">
        <w:t xml:space="preserve">SETS - Client services has a strong focus on activities that facilitate English language acquisition skills, support engagement with education and training and build employment readiness. These activities are considered by the </w:t>
      </w:r>
      <w:r>
        <w:t>Australian Government</w:t>
      </w:r>
      <w:r w:rsidRPr="00775037">
        <w:t xml:space="preserve"> as key building blocks to successful settlement.</w:t>
      </w:r>
    </w:p>
    <w:p w14:paraId="1A38A1C5" w14:textId="77777777" w:rsidR="007568B1" w:rsidRDefault="007568B1" w:rsidP="007568B1">
      <w:pPr>
        <w:spacing w:before="120"/>
      </w:pPr>
      <w:r w:rsidRPr="00775037">
        <w:t xml:space="preserve">SETS - Client Services activities should complement, not duplicate, HSP and/or other settlement services and mainstream services. Funding Arrangement Managers </w:t>
      </w:r>
      <w:r>
        <w:t>will monitor service providers’ activities to ensure these do not duplicate existing services.</w:t>
      </w:r>
    </w:p>
    <w:p w14:paraId="09A2AF4D" w14:textId="77777777" w:rsidR="007568B1" w:rsidRDefault="007568B1" w:rsidP="007568B1">
      <w:pPr>
        <w:spacing w:before="120"/>
      </w:pPr>
      <w:r>
        <w:t>Where barriers for clients to access mainstream services are identified, the service provider should facilitate improved operational engagement with mainstream services. This may include working closely with mainstream service providers to create warm referral</w:t>
      </w:r>
      <w:r>
        <w:rPr>
          <w:vertAlign w:val="superscript"/>
        </w:rPr>
        <w:footnoteReference w:id="13"/>
      </w:r>
      <w:r>
        <w:t xml:space="preserve"> pathways, developing partnership approaches to enhance a holistic approach to client services, and promoting services to disengaged clients and assisting organisations to build cultural awareness.</w:t>
      </w:r>
    </w:p>
    <w:p w14:paraId="412BE14F" w14:textId="77777777" w:rsidR="007568B1" w:rsidRDefault="007568B1" w:rsidP="007568B1">
      <w:pPr>
        <w:spacing w:before="120"/>
      </w:pPr>
      <w:r>
        <w:t>In delivering the SETS program, a number of best practice principles are encouraged. These principles are integral to achieving outcomes for humanitarian entrants and other eligible migrants:</w:t>
      </w:r>
    </w:p>
    <w:p w14:paraId="4B6F605A" w14:textId="77777777" w:rsidR="007568B1" w:rsidRDefault="007568B1" w:rsidP="00C342EE">
      <w:pPr>
        <w:numPr>
          <w:ilvl w:val="0"/>
          <w:numId w:val="27"/>
        </w:numPr>
        <w:suppressAutoHyphens/>
        <w:spacing w:before="120"/>
      </w:pPr>
      <w:r>
        <w:t>Client-centred - Outcomes, goals and activities are tailored to each client’s need and personal circumstances.</w:t>
      </w:r>
    </w:p>
    <w:p w14:paraId="0AD02F92" w14:textId="77777777" w:rsidR="007568B1" w:rsidRDefault="007568B1" w:rsidP="00C342EE">
      <w:pPr>
        <w:numPr>
          <w:ilvl w:val="0"/>
          <w:numId w:val="27"/>
        </w:numPr>
        <w:suppressAutoHyphens/>
        <w:spacing w:before="120"/>
      </w:pPr>
      <w:r>
        <w:t>Flexibility - Services are delivered in a way that suits the individual client needs and are varied according to the changing needs of the client. This tailored approach identifies the need for, and gives priority to, casework and early intervention strategies as required.</w:t>
      </w:r>
    </w:p>
    <w:p w14:paraId="6FBDA377" w14:textId="77777777" w:rsidR="007568B1" w:rsidRDefault="007568B1" w:rsidP="00C342EE">
      <w:pPr>
        <w:numPr>
          <w:ilvl w:val="0"/>
          <w:numId w:val="27"/>
        </w:numPr>
        <w:suppressAutoHyphens/>
        <w:spacing w:before="120"/>
      </w:pPr>
      <w:r>
        <w:lastRenderedPageBreak/>
        <w:t xml:space="preserve">Sustainable Client Settlement outcomes - Services should focus on achieving sustainable client settlement outcomes by developing client skills and competency, supporting realistic expectations, and transitioning clients to independence, other settlement services and mainstream service systems. </w:t>
      </w:r>
    </w:p>
    <w:p w14:paraId="59350B9B" w14:textId="77777777" w:rsidR="007568B1" w:rsidRPr="00775037" w:rsidRDefault="007568B1" w:rsidP="007568B1">
      <w:pPr>
        <w:pStyle w:val="BodyText1"/>
        <w:rPr>
          <w:rFonts w:ascii="Arial" w:eastAsia="Arial" w:hAnsi="Arial" w:cs="Arial"/>
          <w:sz w:val="20"/>
        </w:rPr>
      </w:pPr>
      <w:r>
        <w:rPr>
          <w:rFonts w:asciiTheme="minorHAnsi" w:eastAsiaTheme="minorHAnsi" w:hAnsiTheme="minorHAnsi" w:cstheme="minorBidi"/>
          <w:szCs w:val="22"/>
        </w:rPr>
        <w:br/>
      </w:r>
      <w:r w:rsidRPr="00775037">
        <w:rPr>
          <w:rFonts w:ascii="Arial" w:eastAsia="Arial" w:hAnsi="Arial" w:cs="Arial"/>
          <w:b/>
          <w:sz w:val="20"/>
        </w:rPr>
        <w:t>SETS – Client Services Expected outcomes</w:t>
      </w:r>
      <w:r w:rsidRPr="00775037">
        <w:rPr>
          <w:rFonts w:ascii="Arial" w:eastAsia="Arial" w:hAnsi="Arial" w:cs="Arial"/>
          <w:sz w:val="20"/>
          <w:vertAlign w:val="superscript"/>
        </w:rPr>
        <w:footnoteReference w:id="14"/>
      </w:r>
    </w:p>
    <w:p w14:paraId="630B316B"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 xml:space="preserve">The SETS - Client Services </w:t>
      </w:r>
      <w:r>
        <w:rPr>
          <w:rFonts w:ascii="Arial" w:eastAsia="Arial" w:hAnsi="Arial" w:cs="Arial"/>
          <w:sz w:val="20"/>
        </w:rPr>
        <w:t>grant</w:t>
      </w:r>
      <w:r w:rsidRPr="00775037">
        <w:rPr>
          <w:rFonts w:ascii="Arial" w:eastAsia="Arial" w:hAnsi="Arial" w:cs="Arial"/>
          <w:sz w:val="20"/>
        </w:rPr>
        <w:t xml:space="preserve">s are expected to provide services that address client need in relation to the </w:t>
      </w:r>
      <w:r>
        <w:rPr>
          <w:rFonts w:ascii="Arial" w:eastAsia="Arial" w:hAnsi="Arial" w:cs="Arial"/>
          <w:sz w:val="20"/>
        </w:rPr>
        <w:t>Australian Government</w:t>
      </w:r>
      <w:r w:rsidRPr="00775037">
        <w:rPr>
          <w:rFonts w:ascii="Arial" w:eastAsia="Arial" w:hAnsi="Arial" w:cs="Arial"/>
          <w:sz w:val="20"/>
        </w:rPr>
        <w:t xml:space="preserve">’s three priority areas of English language proficiency, education and employment (the 3Es), and address issues that arise across the nine priority areas identified in the National Settlement Framework. </w:t>
      </w:r>
    </w:p>
    <w:p w14:paraId="3F73B63B"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The SETS - Client Services outcomes recognise that the settlement process is not linear in nature; client issues emerge with varied levels of intensity throughout the client’s settlement journey, and can depend on the level of stressors and external factors at play in a client’s life. It therefore cannot be assumed that SETS - Client Services can, or should, be able to address client need and achieve outcomes in a sequential order across the five-year service eligibility period.</w:t>
      </w:r>
    </w:p>
    <w:p w14:paraId="5522BF89"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The outcomes achieved through the SETS - Client Services are inherently interlinked. Effective settlement has economic, social and personal elements, none of which are mutually exclusive. Failure to effectively participate in one dimension is likely to have repercussions for progress in others. As such, SETS - Client Services encourages services to use a holistic approach in providing support.</w:t>
      </w:r>
    </w:p>
    <w:p w14:paraId="311ADD43"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 xml:space="preserve">Much of the responsibility for addressing needs associated with the nine priority settlement areas lies with other agencies and mainstream services, particularly for the </w:t>
      </w:r>
      <w:r>
        <w:rPr>
          <w:rFonts w:ascii="Arial" w:eastAsia="Arial" w:hAnsi="Arial" w:cs="Arial"/>
          <w:sz w:val="20"/>
        </w:rPr>
        <w:t>Australian Government</w:t>
      </w:r>
      <w:r w:rsidRPr="00775037">
        <w:rPr>
          <w:rFonts w:ascii="Arial" w:eastAsia="Arial" w:hAnsi="Arial" w:cs="Arial"/>
          <w:sz w:val="20"/>
        </w:rPr>
        <w:t xml:space="preserve">’s three priority areas of English language acquisition and pathways to education and employment. </w:t>
      </w:r>
    </w:p>
    <w:p w14:paraId="6EA71BCB"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These outcomes are part of a larger constellation of services, and SETS - Client Services referral activities, casework support and group activities are critical in assisting clients to engage with these services. In order to ensure effective outcomes, SETS - Clients Services providers need to connect and link with other complementary services. Service providers have a role in advocating for clients who are navigating these services.</w:t>
      </w:r>
    </w:p>
    <w:p w14:paraId="1BE22D64" w14:textId="62DD74DF"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Initial Client outcomes include</w:t>
      </w:r>
      <w:r w:rsidR="008C7AE5">
        <w:rPr>
          <w:rFonts w:ascii="Arial" w:eastAsia="Arial" w:hAnsi="Arial" w:cs="Arial"/>
          <w:sz w:val="20"/>
        </w:rPr>
        <w:t xml:space="preserve"> clients</w:t>
      </w:r>
      <w:r w:rsidRPr="00775037">
        <w:rPr>
          <w:rFonts w:ascii="Arial" w:eastAsia="Arial" w:hAnsi="Arial" w:cs="Arial"/>
          <w:sz w:val="20"/>
        </w:rPr>
        <w:t>:</w:t>
      </w:r>
    </w:p>
    <w:p w14:paraId="4EF40582" w14:textId="77777777" w:rsidR="007568B1" w:rsidRPr="00775037" w:rsidRDefault="007568B1" w:rsidP="00C342EE">
      <w:pPr>
        <w:pStyle w:val="BodyText1"/>
        <w:numPr>
          <w:ilvl w:val="0"/>
          <w:numId w:val="30"/>
        </w:numPr>
        <w:spacing w:before="120" w:line="280" w:lineRule="atLeast"/>
        <w:rPr>
          <w:rFonts w:ascii="Arial" w:eastAsia="Arial" w:hAnsi="Arial" w:cs="Arial"/>
          <w:sz w:val="20"/>
        </w:rPr>
      </w:pPr>
      <w:r w:rsidRPr="00775037">
        <w:rPr>
          <w:rFonts w:ascii="Arial" w:eastAsia="Arial" w:hAnsi="Arial" w:cs="Arial"/>
          <w:sz w:val="20"/>
        </w:rPr>
        <w:t>Clients are aware of their specific settlement needs.</w:t>
      </w:r>
    </w:p>
    <w:p w14:paraId="02841E34" w14:textId="77777777" w:rsidR="007568B1" w:rsidRPr="00775037" w:rsidRDefault="007568B1" w:rsidP="00C342EE">
      <w:pPr>
        <w:pStyle w:val="BodyText1"/>
        <w:numPr>
          <w:ilvl w:val="0"/>
          <w:numId w:val="30"/>
        </w:numPr>
        <w:spacing w:before="120" w:line="280" w:lineRule="atLeast"/>
        <w:rPr>
          <w:rFonts w:ascii="Arial" w:eastAsia="Arial" w:hAnsi="Arial" w:cs="Arial"/>
          <w:sz w:val="20"/>
        </w:rPr>
      </w:pPr>
      <w:r w:rsidRPr="00775037">
        <w:rPr>
          <w:rFonts w:ascii="Arial" w:eastAsia="Arial" w:hAnsi="Arial" w:cs="Arial"/>
          <w:sz w:val="20"/>
        </w:rPr>
        <w:t>Clients are aware of and begin to feel comfortable attending relevant groups.</w:t>
      </w:r>
    </w:p>
    <w:p w14:paraId="2187596E" w14:textId="77777777" w:rsidR="007568B1" w:rsidRPr="00775037" w:rsidRDefault="007568B1" w:rsidP="00C342EE">
      <w:pPr>
        <w:pStyle w:val="BodyText1"/>
        <w:numPr>
          <w:ilvl w:val="0"/>
          <w:numId w:val="30"/>
        </w:numPr>
        <w:spacing w:before="120" w:line="280" w:lineRule="atLeast"/>
        <w:rPr>
          <w:rFonts w:ascii="Arial" w:eastAsia="Arial" w:hAnsi="Arial" w:cs="Arial"/>
          <w:sz w:val="20"/>
        </w:rPr>
      </w:pPr>
      <w:r w:rsidRPr="00775037">
        <w:rPr>
          <w:rFonts w:ascii="Arial" w:eastAsia="Arial" w:hAnsi="Arial" w:cs="Arial"/>
          <w:sz w:val="20"/>
        </w:rPr>
        <w:t>Clients become aware of other services.</w:t>
      </w:r>
    </w:p>
    <w:p w14:paraId="607E8EB4" w14:textId="77777777" w:rsidR="007568B1" w:rsidRPr="00775037" w:rsidRDefault="007568B1" w:rsidP="00C342EE">
      <w:pPr>
        <w:pStyle w:val="BodyText1"/>
        <w:numPr>
          <w:ilvl w:val="0"/>
          <w:numId w:val="30"/>
        </w:numPr>
        <w:spacing w:before="120" w:line="280" w:lineRule="atLeast"/>
        <w:rPr>
          <w:rFonts w:ascii="Arial" w:eastAsia="Arial" w:hAnsi="Arial" w:cs="Arial"/>
          <w:sz w:val="20"/>
        </w:rPr>
      </w:pPr>
      <w:r w:rsidRPr="00775037">
        <w:rPr>
          <w:rFonts w:ascii="Arial" w:eastAsia="Arial" w:hAnsi="Arial" w:cs="Arial"/>
          <w:sz w:val="20"/>
        </w:rPr>
        <w:t>Clients have their immediate need addressed and are offered support.</w:t>
      </w:r>
    </w:p>
    <w:p w14:paraId="723573A4" w14:textId="77777777" w:rsidR="007568B1" w:rsidRPr="00775037" w:rsidRDefault="007568B1" w:rsidP="00C342EE">
      <w:pPr>
        <w:pStyle w:val="BodyText1"/>
        <w:numPr>
          <w:ilvl w:val="0"/>
          <w:numId w:val="30"/>
        </w:numPr>
        <w:spacing w:before="120" w:line="280" w:lineRule="atLeast"/>
        <w:rPr>
          <w:rFonts w:ascii="Arial" w:eastAsia="Arial" w:hAnsi="Arial" w:cs="Arial"/>
          <w:sz w:val="20"/>
        </w:rPr>
      </w:pPr>
      <w:r w:rsidRPr="00775037">
        <w:rPr>
          <w:rFonts w:ascii="Arial" w:eastAsia="Arial" w:hAnsi="Arial" w:cs="Arial"/>
          <w:sz w:val="20"/>
        </w:rPr>
        <w:t>Clients with more complex needs are offered tailored support with a SETS - Client Services caseworker.</w:t>
      </w:r>
    </w:p>
    <w:p w14:paraId="07A25C22" w14:textId="77777777" w:rsidR="007568B1" w:rsidRPr="00775037" w:rsidRDefault="007568B1" w:rsidP="00C342EE">
      <w:pPr>
        <w:pStyle w:val="BodyText1"/>
        <w:numPr>
          <w:ilvl w:val="0"/>
          <w:numId w:val="30"/>
        </w:numPr>
        <w:spacing w:before="120" w:line="280" w:lineRule="atLeast"/>
        <w:rPr>
          <w:rFonts w:ascii="Arial" w:eastAsia="Arial" w:hAnsi="Arial" w:cs="Arial"/>
          <w:sz w:val="20"/>
        </w:rPr>
      </w:pPr>
      <w:r w:rsidRPr="00775037">
        <w:rPr>
          <w:rFonts w:ascii="Arial" w:eastAsia="Arial" w:hAnsi="Arial" w:cs="Arial"/>
          <w:sz w:val="20"/>
        </w:rPr>
        <w:t>Clients who are supported by a SETS - Client Services caseworker identify and take steps towards their goals.</w:t>
      </w:r>
    </w:p>
    <w:p w14:paraId="7AB53A12"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Intermediate Client outcomes include:</w:t>
      </w:r>
    </w:p>
    <w:p w14:paraId="1581CDD0" w14:textId="77777777" w:rsidR="007568B1" w:rsidRPr="00775037" w:rsidRDefault="007568B1" w:rsidP="00C342EE">
      <w:pPr>
        <w:pStyle w:val="BodyText1"/>
        <w:numPr>
          <w:ilvl w:val="0"/>
          <w:numId w:val="31"/>
        </w:numPr>
        <w:spacing w:before="120" w:line="280" w:lineRule="atLeast"/>
        <w:rPr>
          <w:rFonts w:ascii="Arial" w:eastAsia="Arial" w:hAnsi="Arial" w:cs="Arial"/>
          <w:sz w:val="20"/>
        </w:rPr>
      </w:pPr>
      <w:r w:rsidRPr="00775037">
        <w:rPr>
          <w:rFonts w:ascii="Arial" w:eastAsia="Arial" w:hAnsi="Arial" w:cs="Arial"/>
          <w:sz w:val="20"/>
        </w:rPr>
        <w:t>Clients know about and understand how relevant mainstream services operate.</w:t>
      </w:r>
    </w:p>
    <w:p w14:paraId="2FC14F0C" w14:textId="77777777" w:rsidR="007568B1" w:rsidRPr="00775037" w:rsidRDefault="007568B1" w:rsidP="00C342EE">
      <w:pPr>
        <w:pStyle w:val="BodyText1"/>
        <w:numPr>
          <w:ilvl w:val="0"/>
          <w:numId w:val="31"/>
        </w:numPr>
        <w:spacing w:before="120" w:line="280" w:lineRule="atLeast"/>
        <w:rPr>
          <w:rFonts w:ascii="Arial" w:eastAsia="Arial" w:hAnsi="Arial" w:cs="Arial"/>
          <w:sz w:val="20"/>
        </w:rPr>
      </w:pPr>
      <w:r w:rsidRPr="00775037">
        <w:rPr>
          <w:rFonts w:ascii="Arial" w:eastAsia="Arial" w:hAnsi="Arial" w:cs="Arial"/>
          <w:sz w:val="20"/>
        </w:rPr>
        <w:lastRenderedPageBreak/>
        <w:t>Clients participate in their local communities.</w:t>
      </w:r>
    </w:p>
    <w:p w14:paraId="260258D3" w14:textId="77777777" w:rsidR="007568B1" w:rsidRPr="00775037" w:rsidRDefault="007568B1" w:rsidP="00C342EE">
      <w:pPr>
        <w:pStyle w:val="BodyText1"/>
        <w:numPr>
          <w:ilvl w:val="0"/>
          <w:numId w:val="31"/>
        </w:numPr>
        <w:spacing w:before="120" w:line="280" w:lineRule="atLeast"/>
        <w:rPr>
          <w:rFonts w:ascii="Arial" w:eastAsia="Arial" w:hAnsi="Arial" w:cs="Arial"/>
          <w:sz w:val="20"/>
        </w:rPr>
      </w:pPr>
      <w:r w:rsidRPr="00775037">
        <w:rPr>
          <w:rFonts w:ascii="Arial" w:eastAsia="Arial" w:hAnsi="Arial" w:cs="Arial"/>
          <w:sz w:val="20"/>
        </w:rPr>
        <w:t>Clients demonstrate greater independence when navigating complementary services.</w:t>
      </w:r>
    </w:p>
    <w:p w14:paraId="43166BD9" w14:textId="77777777" w:rsidR="007568B1" w:rsidRPr="00775037" w:rsidRDefault="007568B1" w:rsidP="00C342EE">
      <w:pPr>
        <w:pStyle w:val="BodyText1"/>
        <w:numPr>
          <w:ilvl w:val="0"/>
          <w:numId w:val="31"/>
        </w:numPr>
        <w:spacing w:before="120" w:line="280" w:lineRule="atLeast"/>
        <w:rPr>
          <w:rFonts w:ascii="Arial" w:eastAsia="Arial" w:hAnsi="Arial" w:cs="Arial"/>
          <w:sz w:val="20"/>
        </w:rPr>
      </w:pPr>
      <w:r w:rsidRPr="00775037">
        <w:rPr>
          <w:rFonts w:ascii="Arial" w:eastAsia="Arial" w:hAnsi="Arial" w:cs="Arial"/>
          <w:sz w:val="20"/>
        </w:rPr>
        <w:t>Clients are engaged on a sustained pathway to improved English proficiency, meaningful employment and/or education.</w:t>
      </w:r>
    </w:p>
    <w:p w14:paraId="4E342B77" w14:textId="77777777" w:rsidR="007568B1" w:rsidRPr="00775037" w:rsidRDefault="007568B1" w:rsidP="007568B1">
      <w:pPr>
        <w:pStyle w:val="BodyText1"/>
        <w:spacing w:before="120" w:line="280" w:lineRule="atLeast"/>
        <w:rPr>
          <w:rFonts w:ascii="Arial" w:eastAsia="Arial" w:hAnsi="Arial" w:cs="Arial"/>
          <w:sz w:val="20"/>
        </w:rPr>
      </w:pPr>
      <w:r w:rsidRPr="00775037">
        <w:rPr>
          <w:rFonts w:ascii="Arial" w:eastAsia="Arial" w:hAnsi="Arial" w:cs="Arial"/>
          <w:sz w:val="20"/>
        </w:rPr>
        <w:t>Longer-term outcomes include:</w:t>
      </w:r>
    </w:p>
    <w:p w14:paraId="42744095" w14:textId="77777777" w:rsidR="007568B1" w:rsidRPr="00775037" w:rsidRDefault="007568B1" w:rsidP="00C342EE">
      <w:pPr>
        <w:pStyle w:val="BodyText1"/>
        <w:numPr>
          <w:ilvl w:val="0"/>
          <w:numId w:val="32"/>
        </w:numPr>
        <w:spacing w:before="120" w:line="280" w:lineRule="atLeast"/>
        <w:rPr>
          <w:rFonts w:ascii="Arial" w:eastAsia="Arial" w:hAnsi="Arial" w:cs="Arial"/>
          <w:sz w:val="20"/>
        </w:rPr>
      </w:pPr>
      <w:r w:rsidRPr="00775037">
        <w:rPr>
          <w:rFonts w:ascii="Arial" w:eastAsia="Arial" w:hAnsi="Arial" w:cs="Arial"/>
          <w:sz w:val="20"/>
        </w:rPr>
        <w:t>Clients are self-reliant and participate equitably in Australian society.</w:t>
      </w:r>
    </w:p>
    <w:p w14:paraId="00DE717E" w14:textId="77777777" w:rsidR="007568B1" w:rsidRPr="00775037" w:rsidRDefault="007568B1" w:rsidP="00C342EE">
      <w:pPr>
        <w:pStyle w:val="BodyText1"/>
        <w:numPr>
          <w:ilvl w:val="0"/>
          <w:numId w:val="32"/>
        </w:numPr>
        <w:spacing w:before="120" w:line="280" w:lineRule="atLeast"/>
        <w:rPr>
          <w:rFonts w:ascii="Arial" w:eastAsia="Arial" w:hAnsi="Arial" w:cs="Arial"/>
          <w:sz w:val="20"/>
        </w:rPr>
      </w:pPr>
      <w:r w:rsidRPr="00775037">
        <w:rPr>
          <w:rFonts w:ascii="Arial" w:eastAsia="Arial" w:hAnsi="Arial" w:cs="Arial"/>
          <w:sz w:val="20"/>
        </w:rPr>
        <w:t>Clients demonstrate social participation, economic and personal wellbeing.</w:t>
      </w:r>
    </w:p>
    <w:p w14:paraId="70B4AEAF" w14:textId="77777777" w:rsidR="007568B1" w:rsidRDefault="007568B1" w:rsidP="007568B1">
      <w:pPr>
        <w:spacing w:before="0" w:line="440" w:lineRule="atLeast"/>
        <w:rPr>
          <w:rFonts w:asciiTheme="minorHAnsi" w:eastAsiaTheme="minorHAnsi" w:hAnsiTheme="minorHAnsi" w:cstheme="minorBidi"/>
        </w:rPr>
      </w:pPr>
      <w:r>
        <w:br w:type="page"/>
      </w:r>
    </w:p>
    <w:p w14:paraId="5E9E6D74" w14:textId="77777777" w:rsidR="007568B1" w:rsidRDefault="007568B1" w:rsidP="007568B1">
      <w:pPr>
        <w:pStyle w:val="Heading2Appendix"/>
        <w:rPr>
          <w:bCs w:val="0"/>
          <w:iCs w:val="0"/>
        </w:rPr>
      </w:pPr>
      <w:bookmarkStart w:id="164" w:name="_Toc535934175"/>
      <w:bookmarkStart w:id="165" w:name="_Toc535831182"/>
      <w:bookmarkStart w:id="166" w:name="_Toc3559271"/>
      <w:r>
        <w:lastRenderedPageBreak/>
        <w:t>Appendix C</w:t>
      </w:r>
      <w:bookmarkEnd w:id="164"/>
      <w:bookmarkEnd w:id="165"/>
      <w:bookmarkEnd w:id="166"/>
    </w:p>
    <w:p w14:paraId="7ED9E682" w14:textId="26889951" w:rsidR="007568B1" w:rsidRDefault="008C7AE5" w:rsidP="007568B1">
      <w:pPr>
        <w:rPr>
          <w:rFonts w:cs="Arial"/>
          <w:b/>
          <w:sz w:val="24"/>
        </w:rPr>
      </w:pPr>
      <w:r>
        <w:rPr>
          <w:b/>
          <w:sz w:val="24"/>
        </w:rPr>
        <w:t>Types of services and support for y</w:t>
      </w:r>
      <w:r w:rsidR="007568B1">
        <w:rPr>
          <w:b/>
          <w:sz w:val="24"/>
        </w:rPr>
        <w:t>outh</w:t>
      </w:r>
    </w:p>
    <w:p w14:paraId="1D665AE6" w14:textId="77777777" w:rsidR="008C7AE5" w:rsidRDefault="007568B1" w:rsidP="007568B1">
      <w:pPr>
        <w:keepNext/>
        <w:keepLines/>
        <w:spacing w:before="120"/>
        <w:rPr>
          <w:rFonts w:cs="Arial"/>
          <w:lang w:eastAsia="en-AU"/>
        </w:rPr>
      </w:pPr>
      <w:r w:rsidRPr="00775037">
        <w:rPr>
          <w:rFonts w:cs="Arial"/>
          <w:lang w:eastAsia="en-AU"/>
        </w:rPr>
        <w:t xml:space="preserve">Young people need a targeted approach to ensure their needs are met in the settlement context. Adult models of service delivery cannot simply be applied to the youth cohort in order to achieve good settlement outcomes. The </w:t>
      </w:r>
      <w:hyperlink r:id="rId75" w:history="1">
        <w:r w:rsidRPr="00775037">
          <w:rPr>
            <w:rStyle w:val="Hyperlink"/>
            <w:rFonts w:cs="Arial"/>
            <w:i/>
            <w:color w:val="0070C0"/>
            <w:lang w:eastAsia="en-AU"/>
          </w:rPr>
          <w:t>National Youth Settlement Framework</w:t>
        </w:r>
      </w:hyperlink>
      <w:r w:rsidRPr="00775037">
        <w:rPr>
          <w:rFonts w:cs="Arial"/>
          <w:lang w:eastAsia="en-AU"/>
        </w:rPr>
        <w:t xml:space="preserve"> sets out eight good practice capabilities that should inform a youth-focussed approach in settlement services. </w:t>
      </w:r>
    </w:p>
    <w:p w14:paraId="086D1499" w14:textId="3D165923" w:rsidR="007568B1" w:rsidRPr="00775037" w:rsidRDefault="007568B1" w:rsidP="007568B1">
      <w:pPr>
        <w:keepNext/>
        <w:keepLines/>
        <w:spacing w:before="120"/>
        <w:rPr>
          <w:rFonts w:cs="Arial"/>
          <w:lang w:eastAsia="en-AU"/>
        </w:rPr>
      </w:pPr>
      <w:r w:rsidRPr="00775037">
        <w:rPr>
          <w:rFonts w:cs="Arial"/>
          <w:lang w:eastAsia="en-AU"/>
        </w:rPr>
        <w:t>These are:</w:t>
      </w:r>
    </w:p>
    <w:p w14:paraId="5BBBDF5D" w14:textId="54D1EE83" w:rsidR="007568B1" w:rsidRPr="00775037" w:rsidRDefault="007568B1" w:rsidP="00C342EE">
      <w:pPr>
        <w:numPr>
          <w:ilvl w:val="0"/>
          <w:numId w:val="28"/>
        </w:numPr>
        <w:spacing w:before="120"/>
        <w:rPr>
          <w:rFonts w:cs="Arial"/>
          <w:lang w:eastAsia="en-AU"/>
        </w:rPr>
      </w:pPr>
      <w:r w:rsidRPr="00775037">
        <w:rPr>
          <w:rFonts w:cs="Arial"/>
          <w:lang w:eastAsia="en-AU"/>
        </w:rPr>
        <w:t>Cultural competency</w:t>
      </w:r>
      <w:r w:rsidR="008C7AE5">
        <w:rPr>
          <w:rFonts w:cs="Arial"/>
          <w:lang w:eastAsia="en-AU"/>
        </w:rPr>
        <w:t>.</w:t>
      </w:r>
    </w:p>
    <w:p w14:paraId="5174CBF3" w14:textId="19F1087A" w:rsidR="007568B1" w:rsidRPr="00775037" w:rsidRDefault="007568B1" w:rsidP="00C342EE">
      <w:pPr>
        <w:numPr>
          <w:ilvl w:val="0"/>
          <w:numId w:val="28"/>
        </w:numPr>
        <w:spacing w:before="120"/>
        <w:rPr>
          <w:rFonts w:cs="Arial"/>
          <w:lang w:eastAsia="en-AU"/>
        </w:rPr>
      </w:pPr>
      <w:r w:rsidRPr="00775037">
        <w:rPr>
          <w:rFonts w:cs="Arial"/>
          <w:lang w:eastAsia="en-AU"/>
        </w:rPr>
        <w:t>Youth-centred and strengths-based</w:t>
      </w:r>
      <w:r w:rsidR="008C7AE5">
        <w:rPr>
          <w:rFonts w:cs="Arial"/>
          <w:lang w:eastAsia="en-AU"/>
        </w:rPr>
        <w:t>.</w:t>
      </w:r>
    </w:p>
    <w:p w14:paraId="08C108F7" w14:textId="5398AECD" w:rsidR="007568B1" w:rsidRPr="00775037" w:rsidRDefault="007568B1" w:rsidP="00C342EE">
      <w:pPr>
        <w:numPr>
          <w:ilvl w:val="0"/>
          <w:numId w:val="28"/>
        </w:numPr>
        <w:spacing w:before="120"/>
        <w:rPr>
          <w:rFonts w:cs="Arial"/>
          <w:lang w:eastAsia="en-AU"/>
        </w:rPr>
      </w:pPr>
      <w:r w:rsidRPr="00775037">
        <w:rPr>
          <w:rFonts w:cs="Arial"/>
          <w:lang w:eastAsia="en-AU"/>
        </w:rPr>
        <w:t>Youth development and participation</w:t>
      </w:r>
      <w:r w:rsidR="008C7AE5">
        <w:rPr>
          <w:rFonts w:cs="Arial"/>
          <w:lang w:eastAsia="en-AU"/>
        </w:rPr>
        <w:t>.</w:t>
      </w:r>
    </w:p>
    <w:p w14:paraId="70819D7B" w14:textId="25AD0AA6" w:rsidR="007568B1" w:rsidRPr="00775037" w:rsidRDefault="007568B1" w:rsidP="00C342EE">
      <w:pPr>
        <w:numPr>
          <w:ilvl w:val="0"/>
          <w:numId w:val="28"/>
        </w:numPr>
        <w:spacing w:before="120"/>
        <w:rPr>
          <w:rFonts w:cs="Arial"/>
          <w:lang w:eastAsia="en-AU"/>
        </w:rPr>
      </w:pPr>
      <w:r w:rsidRPr="00775037">
        <w:rPr>
          <w:rFonts w:cs="Arial"/>
          <w:lang w:eastAsia="en-AU"/>
        </w:rPr>
        <w:t>Trauma-informed</w:t>
      </w:r>
      <w:r w:rsidR="008C7AE5">
        <w:rPr>
          <w:rFonts w:cs="Arial"/>
          <w:lang w:eastAsia="en-AU"/>
        </w:rPr>
        <w:t>.</w:t>
      </w:r>
    </w:p>
    <w:p w14:paraId="378368E7" w14:textId="3E6128A0" w:rsidR="007568B1" w:rsidRPr="00775037" w:rsidRDefault="007568B1" w:rsidP="00C342EE">
      <w:pPr>
        <w:numPr>
          <w:ilvl w:val="0"/>
          <w:numId w:val="28"/>
        </w:numPr>
        <w:spacing w:before="120"/>
        <w:rPr>
          <w:rFonts w:cs="Arial"/>
          <w:lang w:eastAsia="en-AU"/>
        </w:rPr>
      </w:pPr>
      <w:r w:rsidRPr="00775037">
        <w:rPr>
          <w:rFonts w:cs="Arial"/>
          <w:lang w:eastAsia="en-AU"/>
        </w:rPr>
        <w:t>Family-aware</w:t>
      </w:r>
      <w:r w:rsidR="008C7AE5">
        <w:rPr>
          <w:rFonts w:cs="Arial"/>
          <w:lang w:eastAsia="en-AU"/>
        </w:rPr>
        <w:t>.</w:t>
      </w:r>
    </w:p>
    <w:p w14:paraId="475C2B14" w14:textId="23720D28" w:rsidR="007568B1" w:rsidRPr="00775037" w:rsidRDefault="007568B1" w:rsidP="00C342EE">
      <w:pPr>
        <w:numPr>
          <w:ilvl w:val="0"/>
          <w:numId w:val="28"/>
        </w:numPr>
        <w:spacing w:before="120"/>
        <w:rPr>
          <w:rFonts w:cs="Arial"/>
          <w:lang w:eastAsia="en-AU"/>
        </w:rPr>
      </w:pPr>
      <w:r w:rsidRPr="00775037">
        <w:rPr>
          <w:rFonts w:cs="Arial"/>
          <w:lang w:eastAsia="en-AU"/>
        </w:rPr>
        <w:t>Flexibility and responsiveness</w:t>
      </w:r>
      <w:r w:rsidR="008C7AE5">
        <w:rPr>
          <w:rFonts w:cs="Arial"/>
          <w:lang w:eastAsia="en-AU"/>
        </w:rPr>
        <w:t>.</w:t>
      </w:r>
    </w:p>
    <w:p w14:paraId="35ED6AD8" w14:textId="017DA37B" w:rsidR="007568B1" w:rsidRPr="00775037" w:rsidRDefault="007568B1" w:rsidP="00C342EE">
      <w:pPr>
        <w:numPr>
          <w:ilvl w:val="0"/>
          <w:numId w:val="28"/>
        </w:numPr>
        <w:spacing w:before="120"/>
        <w:rPr>
          <w:rFonts w:cs="Arial"/>
          <w:lang w:eastAsia="en-AU"/>
        </w:rPr>
      </w:pPr>
      <w:r w:rsidRPr="00775037">
        <w:rPr>
          <w:rFonts w:cs="Arial"/>
          <w:lang w:eastAsia="en-AU"/>
        </w:rPr>
        <w:t>Collaboration</w:t>
      </w:r>
      <w:r w:rsidR="008C7AE5">
        <w:rPr>
          <w:rFonts w:cs="Arial"/>
          <w:lang w:eastAsia="en-AU"/>
        </w:rPr>
        <w:t>.</w:t>
      </w:r>
    </w:p>
    <w:p w14:paraId="7028AC5E" w14:textId="4E10D630" w:rsidR="007568B1" w:rsidRPr="00775037" w:rsidRDefault="007568B1" w:rsidP="00C342EE">
      <w:pPr>
        <w:numPr>
          <w:ilvl w:val="0"/>
          <w:numId w:val="28"/>
        </w:numPr>
        <w:spacing w:before="120"/>
        <w:rPr>
          <w:rFonts w:cs="Arial"/>
          <w:lang w:eastAsia="en-AU"/>
        </w:rPr>
      </w:pPr>
      <w:r w:rsidRPr="00775037">
        <w:rPr>
          <w:rFonts w:cs="Arial"/>
          <w:lang w:eastAsia="en-AU"/>
        </w:rPr>
        <w:t>Advocacy</w:t>
      </w:r>
      <w:r w:rsidR="008C7AE5">
        <w:rPr>
          <w:rFonts w:cs="Arial"/>
          <w:lang w:eastAsia="en-AU"/>
        </w:rPr>
        <w:t>.</w:t>
      </w:r>
    </w:p>
    <w:p w14:paraId="6369926D" w14:textId="77777777" w:rsidR="007568B1" w:rsidRPr="00775037" w:rsidRDefault="007568B1" w:rsidP="007568B1">
      <w:pPr>
        <w:spacing w:before="120"/>
        <w:rPr>
          <w:rFonts w:eastAsia="Calibri" w:cs="Arial"/>
        </w:rPr>
      </w:pPr>
      <w:r w:rsidRPr="00775037">
        <w:rPr>
          <w:rFonts w:eastAsia="Calibri" w:cs="Arial"/>
        </w:rPr>
        <w:t xml:space="preserve">The needs of young people who would benefit from SETS support will vary from low, or medium to high. Some may have multiple and more complex needs, while others (with more developed skills, knowledge and networks) will have low needs. Need will vary depending on age, life experience, aspirations, family structures, peer networks, previous support received and length of time in Australia. </w:t>
      </w:r>
    </w:p>
    <w:p w14:paraId="5350C709" w14:textId="77777777" w:rsidR="008C7AE5" w:rsidRDefault="007568B1" w:rsidP="007568B1">
      <w:pPr>
        <w:spacing w:before="120"/>
        <w:rPr>
          <w:rFonts w:eastAsia="Calibri" w:cs="Arial"/>
        </w:rPr>
      </w:pPr>
      <w:r w:rsidRPr="00775037">
        <w:rPr>
          <w:rFonts w:eastAsia="Calibri" w:cs="Arial"/>
        </w:rPr>
        <w:t xml:space="preserve">Appropriate SETS </w:t>
      </w:r>
      <w:r w:rsidRPr="00775037">
        <w:rPr>
          <w:rFonts w:eastAsia="Calibri" w:cs="Arial"/>
        </w:rPr>
        <w:noBreakHyphen/>
        <w:t xml:space="preserve"> Client Services activities will include providing both individual case support and group-based activities. </w:t>
      </w:r>
    </w:p>
    <w:p w14:paraId="6423383C" w14:textId="5F83834B" w:rsidR="007568B1" w:rsidRPr="00775037" w:rsidRDefault="007568B1" w:rsidP="007568B1">
      <w:pPr>
        <w:spacing w:before="120"/>
        <w:rPr>
          <w:rFonts w:eastAsia="Calibri" w:cs="Arial"/>
        </w:rPr>
      </w:pPr>
      <w:r w:rsidRPr="00775037">
        <w:rPr>
          <w:rFonts w:eastAsia="Calibri" w:cs="Arial"/>
        </w:rPr>
        <w:t>These services may include, but are not limited to:</w:t>
      </w:r>
    </w:p>
    <w:p w14:paraId="3631516E" w14:textId="77777777" w:rsidR="007568B1" w:rsidRPr="00775037" w:rsidRDefault="007568B1" w:rsidP="00C342EE">
      <w:pPr>
        <w:numPr>
          <w:ilvl w:val="0"/>
          <w:numId w:val="25"/>
        </w:numPr>
        <w:spacing w:before="120"/>
        <w:ind w:left="714" w:hanging="357"/>
        <w:rPr>
          <w:rFonts w:eastAsia="Calibri" w:cs="Arial"/>
        </w:rPr>
      </w:pPr>
      <w:r w:rsidRPr="00775037">
        <w:rPr>
          <w:rFonts w:eastAsia="Calibri" w:cs="Arial"/>
        </w:rPr>
        <w:t>Delivering programs that encourage personal well-being, this may include activities to support positive inter-generational relationships, positive self-esteem, identifying goals for the future and pathways to realise them, and development of life skills including budgeting, managing finances and expenses, accessing health care and income support, navigating public transport, grocery shopping, as well as communication and interpersonal skills, study skills.</w:t>
      </w:r>
    </w:p>
    <w:p w14:paraId="1D0DB790" w14:textId="77777777" w:rsidR="007568B1" w:rsidRPr="00775037" w:rsidRDefault="007568B1" w:rsidP="00C342EE">
      <w:pPr>
        <w:numPr>
          <w:ilvl w:val="0"/>
          <w:numId w:val="25"/>
        </w:numPr>
        <w:spacing w:before="120"/>
        <w:ind w:left="714" w:hanging="357"/>
        <w:rPr>
          <w:rFonts w:eastAsia="Calibri" w:cs="Arial"/>
        </w:rPr>
      </w:pPr>
      <w:r w:rsidRPr="00775037">
        <w:rPr>
          <w:rFonts w:eastAsia="Calibri" w:cs="Arial"/>
        </w:rPr>
        <w:t>Providing opportunities to acquire English language skills by building a young person’s skills and capacity to engage in intensive English language services.</w:t>
      </w:r>
    </w:p>
    <w:p w14:paraId="3247D78B" w14:textId="77777777" w:rsidR="007568B1" w:rsidRPr="00775037" w:rsidRDefault="007568B1" w:rsidP="00C342EE">
      <w:pPr>
        <w:numPr>
          <w:ilvl w:val="0"/>
          <w:numId w:val="25"/>
        </w:numPr>
        <w:spacing w:before="120"/>
        <w:ind w:left="714" w:hanging="357"/>
        <w:rPr>
          <w:rFonts w:eastAsia="Calibri" w:cs="Arial"/>
        </w:rPr>
      </w:pPr>
      <w:r w:rsidRPr="00775037">
        <w:rPr>
          <w:rFonts w:eastAsia="Calibri" w:cs="Arial"/>
        </w:rPr>
        <w:t>Providing assistance to engage in pathways towards employment, education and/or training that may include support to participate in formal education or training and/or employment programs that offer skills to develop job seeking capabilities.</w:t>
      </w:r>
    </w:p>
    <w:p w14:paraId="0924CD3C" w14:textId="77777777" w:rsidR="007568B1" w:rsidRPr="00775037" w:rsidRDefault="007568B1" w:rsidP="00C342EE">
      <w:pPr>
        <w:numPr>
          <w:ilvl w:val="0"/>
          <w:numId w:val="25"/>
        </w:numPr>
        <w:spacing w:before="120"/>
        <w:ind w:left="714" w:hanging="357"/>
        <w:rPr>
          <w:rFonts w:eastAsia="Calibri" w:cs="Arial"/>
        </w:rPr>
      </w:pPr>
      <w:r w:rsidRPr="00775037">
        <w:rPr>
          <w:rFonts w:eastAsia="Calibri" w:cs="Arial"/>
        </w:rPr>
        <w:t>Providing young people with access to positive peer networks.</w:t>
      </w:r>
    </w:p>
    <w:p w14:paraId="63E23330" w14:textId="77777777" w:rsidR="007568B1" w:rsidRPr="00775037" w:rsidRDefault="007568B1" w:rsidP="00C342EE">
      <w:pPr>
        <w:numPr>
          <w:ilvl w:val="0"/>
          <w:numId w:val="25"/>
        </w:numPr>
        <w:spacing w:before="120"/>
        <w:ind w:left="714" w:hanging="357"/>
        <w:rPr>
          <w:rFonts w:eastAsia="Calibri" w:cs="Arial"/>
        </w:rPr>
      </w:pPr>
      <w:r w:rsidRPr="00775037">
        <w:rPr>
          <w:rFonts w:eastAsia="Calibri" w:cs="Arial"/>
        </w:rPr>
        <w:t>Assistance to develop bridging links with inter-ethnic networks and bonding through intra</w:t>
      </w:r>
      <w:r w:rsidRPr="00775037">
        <w:rPr>
          <w:rFonts w:eastAsia="Calibri" w:cs="Arial"/>
        </w:rPr>
        <w:noBreakHyphen/>
        <w:t>ethnic networks. This may include providing opportunities to participate in sports, cultural, or employment preparation group activities for young people from similar backgrounds; and group activities for those from different backgrounds.</w:t>
      </w:r>
    </w:p>
    <w:p w14:paraId="77D2A1B5" w14:textId="77777777" w:rsidR="007568B1" w:rsidRPr="00775037" w:rsidRDefault="007568B1" w:rsidP="00C342EE">
      <w:pPr>
        <w:numPr>
          <w:ilvl w:val="0"/>
          <w:numId w:val="25"/>
        </w:numPr>
        <w:spacing w:before="120"/>
        <w:ind w:left="714" w:hanging="357"/>
        <w:rPr>
          <w:rFonts w:eastAsia="Calibri" w:cs="Arial"/>
        </w:rPr>
      </w:pPr>
      <w:r w:rsidRPr="00775037">
        <w:rPr>
          <w:rFonts w:eastAsia="Calibri" w:cs="Arial"/>
        </w:rPr>
        <w:t xml:space="preserve">Providing activities that support civic participation such as providing linkages to volunteering opportunities. </w:t>
      </w:r>
    </w:p>
    <w:p w14:paraId="6692A4D2" w14:textId="77777777" w:rsidR="007568B1" w:rsidRPr="00775037" w:rsidRDefault="007568B1" w:rsidP="007568B1">
      <w:pPr>
        <w:spacing w:before="120"/>
        <w:rPr>
          <w:rFonts w:eastAsia="Calibri" w:cs="Arial"/>
        </w:rPr>
      </w:pPr>
      <w:r w:rsidRPr="00775037">
        <w:rPr>
          <w:rFonts w:eastAsia="Calibri" w:cs="Arial"/>
        </w:rPr>
        <w:lastRenderedPageBreak/>
        <w:t>A range of strategies can help service providers address the challenges faced by young clients in the program, such as:</w:t>
      </w:r>
    </w:p>
    <w:p w14:paraId="22CA0719" w14:textId="77777777" w:rsidR="007568B1" w:rsidRPr="00775037" w:rsidRDefault="007568B1" w:rsidP="00C342EE">
      <w:pPr>
        <w:numPr>
          <w:ilvl w:val="0"/>
          <w:numId w:val="29"/>
        </w:numPr>
        <w:spacing w:before="120"/>
        <w:rPr>
          <w:rFonts w:eastAsia="Calibri" w:cs="Arial"/>
        </w:rPr>
      </w:pPr>
      <w:r w:rsidRPr="00775037">
        <w:rPr>
          <w:rFonts w:eastAsia="Calibri" w:cs="Arial"/>
        </w:rPr>
        <w:t>Support available to young people will be strengthened if providers can work together, learn from each other and ensure services are not duplicated. This will also support referral pathways and continuum of support so that young people’s needs are addressed at all stages of their settlement journey.</w:t>
      </w:r>
    </w:p>
    <w:p w14:paraId="3B7F18C2" w14:textId="77777777" w:rsidR="007568B1" w:rsidRPr="00775037" w:rsidRDefault="007568B1" w:rsidP="00C342EE">
      <w:pPr>
        <w:numPr>
          <w:ilvl w:val="0"/>
          <w:numId w:val="29"/>
        </w:numPr>
        <w:spacing w:before="120"/>
        <w:rPr>
          <w:rFonts w:eastAsia="Calibri" w:cs="Arial"/>
        </w:rPr>
      </w:pPr>
      <w:r w:rsidRPr="00775037">
        <w:rPr>
          <w:rFonts w:eastAsia="Calibri" w:cs="Arial"/>
        </w:rPr>
        <w:t>Partnerships are a key to the delivery of effective youth settlement services. Projects may commence with some program partners already in place, but identifying and entering new partnerships is a key to remaining flexible and adaptable to emerging needs and opportunities.</w:t>
      </w:r>
    </w:p>
    <w:p w14:paraId="15E599AE" w14:textId="77777777" w:rsidR="007568B1" w:rsidRPr="00775037" w:rsidRDefault="007568B1" w:rsidP="00C342EE">
      <w:pPr>
        <w:numPr>
          <w:ilvl w:val="0"/>
          <w:numId w:val="29"/>
        </w:numPr>
        <w:spacing w:before="120"/>
        <w:rPr>
          <w:rFonts w:eastAsia="Calibri" w:cs="Arial"/>
        </w:rPr>
      </w:pPr>
      <w:r w:rsidRPr="00775037">
        <w:rPr>
          <w:rFonts w:eastAsia="Calibri" w:cs="Arial"/>
        </w:rPr>
        <w:t>Providers should engage with local employer and training provider representatives to explore links for participants into local labour markets and increase the options for young people’s economic participation.</w:t>
      </w:r>
    </w:p>
    <w:p w14:paraId="24455B77" w14:textId="77777777" w:rsidR="007568B1" w:rsidRPr="00775037" w:rsidRDefault="007568B1" w:rsidP="00C342EE">
      <w:pPr>
        <w:numPr>
          <w:ilvl w:val="0"/>
          <w:numId w:val="29"/>
        </w:numPr>
        <w:spacing w:before="120"/>
        <w:rPr>
          <w:rFonts w:eastAsia="Calibri" w:cs="Arial"/>
        </w:rPr>
      </w:pPr>
      <w:r w:rsidRPr="00775037">
        <w:rPr>
          <w:rFonts w:eastAsia="Calibri" w:cs="Arial"/>
        </w:rPr>
        <w:t>Provider partnerships with schools can provide additional support services for enrolled students. Strategic placement of youth settlement transitions workers in local schools, colleges and TAFEs can all evolve from an initial partnership.</w:t>
      </w:r>
    </w:p>
    <w:p w14:paraId="13D2A100" w14:textId="77777777" w:rsidR="007568B1" w:rsidRDefault="007568B1" w:rsidP="00C342EE">
      <w:pPr>
        <w:pStyle w:val="ListParagraph"/>
        <w:numPr>
          <w:ilvl w:val="0"/>
          <w:numId w:val="29"/>
        </w:numPr>
        <w:spacing w:before="0" w:line="440" w:lineRule="atLeast"/>
        <w:rPr>
          <w:rFonts w:ascii="Calibri" w:hAnsi="Calibri"/>
        </w:rPr>
      </w:pPr>
      <w:r>
        <w:rPr>
          <w:rFonts w:ascii="Calibri" w:hAnsi="Calibri"/>
        </w:rPr>
        <w:br w:type="page"/>
      </w:r>
    </w:p>
    <w:p w14:paraId="12773C64" w14:textId="77777777" w:rsidR="007568B1" w:rsidRDefault="007568B1" w:rsidP="007568B1">
      <w:pPr>
        <w:pStyle w:val="Heading2Appendix"/>
      </w:pPr>
      <w:bookmarkStart w:id="167" w:name="_Toc535934176"/>
      <w:bookmarkStart w:id="168" w:name="_Toc3559272"/>
      <w:r>
        <w:lastRenderedPageBreak/>
        <w:t>Appendix D</w:t>
      </w:r>
      <w:bookmarkEnd w:id="167"/>
      <w:bookmarkEnd w:id="168"/>
    </w:p>
    <w:p w14:paraId="0354956F" w14:textId="77777777" w:rsidR="007568B1" w:rsidRDefault="007568B1" w:rsidP="007568B1">
      <w:pPr>
        <w:rPr>
          <w:rFonts w:asciiTheme="minorHAnsi" w:eastAsiaTheme="minorHAnsi" w:hAnsiTheme="minorHAnsi" w:cstheme="minorBidi"/>
          <w:b/>
          <w:sz w:val="24"/>
        </w:rPr>
      </w:pPr>
      <w:r>
        <w:rPr>
          <w:b/>
          <w:sz w:val="24"/>
        </w:rPr>
        <w:t>Links and collaboration with other agencies</w:t>
      </w:r>
    </w:p>
    <w:p w14:paraId="5EF57347" w14:textId="77777777" w:rsidR="007568B1" w:rsidRPr="00775037" w:rsidRDefault="007568B1" w:rsidP="007568B1">
      <w:pPr>
        <w:spacing w:before="120"/>
        <w:rPr>
          <w:rFonts w:eastAsia="Calibri" w:cs="Arial"/>
        </w:rPr>
      </w:pPr>
      <w:r w:rsidRPr="00775037">
        <w:rPr>
          <w:rFonts w:eastAsia="Calibri" w:cs="Arial"/>
        </w:rPr>
        <w:t>Key stakeholders are integral to providing holistic and quality services. An important characteristic of delivering a quality service is the capacity to establish and maintain partnerships and links with other agencies.</w:t>
      </w:r>
    </w:p>
    <w:p w14:paraId="09544E3B" w14:textId="77777777" w:rsidR="007568B1" w:rsidRPr="00775037" w:rsidRDefault="007568B1" w:rsidP="007568B1">
      <w:pPr>
        <w:spacing w:before="120"/>
        <w:rPr>
          <w:rFonts w:eastAsia="Calibri" w:cs="Arial"/>
        </w:rPr>
      </w:pPr>
      <w:r w:rsidRPr="00775037">
        <w:rPr>
          <w:rFonts w:eastAsia="Calibri" w:cs="Arial"/>
        </w:rPr>
        <w:t xml:space="preserve">Active involvement of key stakeholders can strengthen collaboration between services and within communities to act as a pathway for improved service delivery. </w:t>
      </w:r>
    </w:p>
    <w:p w14:paraId="0249D2FA" w14:textId="77777777" w:rsidR="007568B1" w:rsidRPr="00775037" w:rsidRDefault="007568B1" w:rsidP="007568B1">
      <w:pPr>
        <w:keepNext/>
        <w:keepLines/>
        <w:spacing w:before="120"/>
        <w:rPr>
          <w:rFonts w:eastAsia="Calibri" w:cs="Arial"/>
          <w:color w:val="000000"/>
        </w:rPr>
      </w:pPr>
      <w:r w:rsidRPr="00775037">
        <w:rPr>
          <w:rFonts w:eastAsia="Calibri" w:cs="Arial"/>
          <w:color w:val="000000"/>
        </w:rPr>
        <w:t>Service providers delivering SETS - Client Services</w:t>
      </w:r>
      <w:r w:rsidRPr="00775037">
        <w:rPr>
          <w:rFonts w:eastAsia="Calibri" w:cs="Arial"/>
          <w:i/>
          <w:color w:val="000000"/>
        </w:rPr>
        <w:t xml:space="preserve"> </w:t>
      </w:r>
      <w:r w:rsidRPr="00775037">
        <w:rPr>
          <w:rFonts w:eastAsia="Calibri" w:cs="Arial"/>
          <w:color w:val="000000"/>
        </w:rPr>
        <w:t>should prioritise working relationships with organisations delivering similar programs to avoid duplication of effort, develop strong referral pathways, enable collaborative casework strategies, and build effective cross-sector capacity to support the target group.</w:t>
      </w:r>
    </w:p>
    <w:p w14:paraId="652F745E" w14:textId="77777777" w:rsidR="007568B1" w:rsidRPr="00775037" w:rsidRDefault="007568B1" w:rsidP="007568B1">
      <w:pPr>
        <w:spacing w:before="120"/>
        <w:rPr>
          <w:rFonts w:cs="Arial"/>
          <w:color w:val="000000"/>
        </w:rPr>
      </w:pPr>
      <w:r w:rsidRPr="00775037">
        <w:rPr>
          <w:rFonts w:cs="Arial"/>
          <w:color w:val="000000"/>
        </w:rPr>
        <w:t xml:space="preserve">These relationships can provide valuable information on issues including referral processes, client needs, local issues, community feedback and approaches or gaps in service delivery. </w:t>
      </w:r>
    </w:p>
    <w:p w14:paraId="68903927" w14:textId="77777777" w:rsidR="007568B1" w:rsidRPr="00775037" w:rsidRDefault="007568B1" w:rsidP="007568B1">
      <w:pPr>
        <w:spacing w:before="120"/>
        <w:rPr>
          <w:rFonts w:cs="Arial"/>
          <w:color w:val="000000"/>
        </w:rPr>
      </w:pPr>
      <w:r w:rsidRPr="00775037">
        <w:rPr>
          <w:rFonts w:cs="Arial"/>
          <w:color w:val="000000"/>
        </w:rPr>
        <w:t>Activities that can be undertaken include:</w:t>
      </w:r>
    </w:p>
    <w:p w14:paraId="7FED7970" w14:textId="77777777" w:rsidR="007568B1" w:rsidRPr="00775037" w:rsidRDefault="007568B1" w:rsidP="00C342EE">
      <w:pPr>
        <w:pStyle w:val="ListParagraph"/>
        <w:numPr>
          <w:ilvl w:val="0"/>
          <w:numId w:val="33"/>
        </w:numPr>
        <w:spacing w:before="120"/>
        <w:contextualSpacing w:val="0"/>
        <w:rPr>
          <w:rFonts w:eastAsia="Calibri" w:cs="Arial"/>
        </w:rPr>
      </w:pPr>
      <w:r w:rsidRPr="00775037">
        <w:rPr>
          <w:rFonts w:eastAsia="Calibri" w:cs="Arial"/>
        </w:rPr>
        <w:t>collaborating to support individuals</w:t>
      </w:r>
    </w:p>
    <w:p w14:paraId="5458A995" w14:textId="77777777" w:rsidR="007568B1" w:rsidRPr="00775037" w:rsidRDefault="007568B1" w:rsidP="00C342EE">
      <w:pPr>
        <w:pStyle w:val="ListParagraph"/>
        <w:numPr>
          <w:ilvl w:val="0"/>
          <w:numId w:val="33"/>
        </w:numPr>
        <w:spacing w:before="120"/>
        <w:contextualSpacing w:val="0"/>
        <w:rPr>
          <w:rFonts w:eastAsia="Calibri" w:cs="Arial"/>
        </w:rPr>
      </w:pPr>
      <w:r w:rsidRPr="00775037">
        <w:rPr>
          <w:rFonts w:eastAsia="Calibri" w:cs="Arial"/>
        </w:rPr>
        <w:t>integrating service delivery</w:t>
      </w:r>
    </w:p>
    <w:p w14:paraId="686EA88C" w14:textId="77777777" w:rsidR="007568B1" w:rsidRPr="00775037" w:rsidRDefault="007568B1" w:rsidP="00C342EE">
      <w:pPr>
        <w:pStyle w:val="ListParagraph"/>
        <w:numPr>
          <w:ilvl w:val="0"/>
          <w:numId w:val="33"/>
        </w:numPr>
        <w:spacing w:before="120"/>
        <w:contextualSpacing w:val="0"/>
        <w:rPr>
          <w:rFonts w:eastAsia="Calibri" w:cs="Arial"/>
        </w:rPr>
      </w:pPr>
      <w:r w:rsidRPr="00775037">
        <w:rPr>
          <w:rFonts w:eastAsia="Calibri" w:cs="Arial"/>
        </w:rPr>
        <w:t>networking with existing agencies (or building new networks) to identify issues and address gaps and barriers in local service delivery.</w:t>
      </w:r>
    </w:p>
    <w:p w14:paraId="7844E084" w14:textId="77777777" w:rsidR="007568B1" w:rsidRPr="00775037" w:rsidRDefault="007568B1" w:rsidP="007568B1">
      <w:pPr>
        <w:spacing w:before="120"/>
        <w:rPr>
          <w:rFonts w:eastAsia="Calibri" w:cs="Arial"/>
        </w:rPr>
      </w:pPr>
      <w:r w:rsidRPr="00775037">
        <w:rPr>
          <w:rFonts w:eastAsia="Calibri" w:cs="Arial"/>
        </w:rPr>
        <w:t>Effective collaboration by providers includes the opportunity to:</w:t>
      </w:r>
    </w:p>
    <w:p w14:paraId="05662A1C" w14:textId="77777777" w:rsidR="007568B1" w:rsidRPr="00775037" w:rsidRDefault="007568B1" w:rsidP="00C342EE">
      <w:pPr>
        <w:pStyle w:val="ListParagraph"/>
        <w:numPr>
          <w:ilvl w:val="0"/>
          <w:numId w:val="34"/>
        </w:numPr>
        <w:spacing w:before="120"/>
        <w:contextualSpacing w:val="0"/>
        <w:rPr>
          <w:rFonts w:eastAsia="Calibri" w:cs="Arial"/>
        </w:rPr>
      </w:pPr>
      <w:r w:rsidRPr="00775037">
        <w:rPr>
          <w:rFonts w:eastAsia="Calibri" w:cs="Arial"/>
        </w:rPr>
        <w:t>participate in inter-agency groups, committees and forums to work on issues of common concern</w:t>
      </w:r>
    </w:p>
    <w:p w14:paraId="3B6A14EB" w14:textId="77777777" w:rsidR="007568B1" w:rsidRPr="00775037" w:rsidRDefault="007568B1" w:rsidP="00C342EE">
      <w:pPr>
        <w:pStyle w:val="ListParagraph"/>
        <w:numPr>
          <w:ilvl w:val="0"/>
          <w:numId w:val="34"/>
        </w:numPr>
        <w:spacing w:before="120"/>
        <w:contextualSpacing w:val="0"/>
        <w:rPr>
          <w:rFonts w:eastAsia="Calibri" w:cs="Arial"/>
        </w:rPr>
      </w:pPr>
      <w:r w:rsidRPr="00775037">
        <w:rPr>
          <w:rFonts w:eastAsia="Calibri" w:cs="Arial"/>
        </w:rPr>
        <w:t>collaborate in joint ventures with agencies working with the same target group or issues of concern</w:t>
      </w:r>
    </w:p>
    <w:p w14:paraId="6FB13D4E" w14:textId="77777777" w:rsidR="007568B1" w:rsidRPr="00775037" w:rsidRDefault="007568B1" w:rsidP="00C342EE">
      <w:pPr>
        <w:pStyle w:val="ListParagraph"/>
        <w:numPr>
          <w:ilvl w:val="0"/>
          <w:numId w:val="34"/>
        </w:numPr>
        <w:spacing w:before="120"/>
        <w:contextualSpacing w:val="0"/>
        <w:rPr>
          <w:rFonts w:eastAsia="Calibri" w:cs="Arial"/>
        </w:rPr>
      </w:pPr>
      <w:r w:rsidRPr="00775037">
        <w:rPr>
          <w:rFonts w:eastAsia="Calibri" w:cs="Arial"/>
        </w:rPr>
        <w:t>collaborate in local community gatherings or state based forums</w:t>
      </w:r>
    </w:p>
    <w:p w14:paraId="7D89D38A" w14:textId="77777777" w:rsidR="007568B1" w:rsidRPr="00775037" w:rsidRDefault="007568B1" w:rsidP="00C342EE">
      <w:pPr>
        <w:pStyle w:val="ListParagraph"/>
        <w:keepNext/>
        <w:numPr>
          <w:ilvl w:val="0"/>
          <w:numId w:val="34"/>
        </w:numPr>
        <w:spacing w:before="120"/>
        <w:contextualSpacing w:val="0"/>
        <w:rPr>
          <w:rFonts w:eastAsia="Calibri" w:cs="Arial"/>
        </w:rPr>
      </w:pPr>
      <w:r w:rsidRPr="00775037">
        <w:rPr>
          <w:rFonts w:eastAsia="Calibri" w:cs="Arial"/>
        </w:rPr>
        <w:t xml:space="preserve">develop positive working relationships with </w:t>
      </w:r>
      <w:r>
        <w:rPr>
          <w:rFonts w:eastAsia="Calibri" w:cs="Arial"/>
        </w:rPr>
        <w:t>Government</w:t>
      </w:r>
      <w:r w:rsidRPr="00775037">
        <w:rPr>
          <w:rFonts w:eastAsia="Calibri" w:cs="Arial"/>
        </w:rPr>
        <w:t xml:space="preserve"> agencies</w:t>
      </w:r>
    </w:p>
    <w:p w14:paraId="2B855F3A" w14:textId="77777777" w:rsidR="007568B1" w:rsidRPr="00775037" w:rsidRDefault="007568B1" w:rsidP="00C342EE">
      <w:pPr>
        <w:pStyle w:val="ListParagraph"/>
        <w:numPr>
          <w:ilvl w:val="0"/>
          <w:numId w:val="34"/>
        </w:numPr>
        <w:spacing w:before="120"/>
        <w:contextualSpacing w:val="0"/>
        <w:rPr>
          <w:rFonts w:eastAsia="Calibri" w:cs="Arial"/>
        </w:rPr>
      </w:pPr>
      <w:r w:rsidRPr="00775037">
        <w:rPr>
          <w:rFonts w:eastAsia="Calibri" w:cs="Arial"/>
        </w:rPr>
        <w:t>exchange ideas and knowledge.</w:t>
      </w:r>
    </w:p>
    <w:p w14:paraId="36A304EB" w14:textId="77777777" w:rsidR="007568B1" w:rsidRPr="00775037" w:rsidRDefault="007568B1" w:rsidP="007568B1">
      <w:pPr>
        <w:spacing w:before="120"/>
        <w:rPr>
          <w:rFonts w:eastAsia="Calibri" w:cs="Arial"/>
        </w:rPr>
      </w:pPr>
      <w:r w:rsidRPr="00775037">
        <w:rPr>
          <w:rFonts w:eastAsia="Calibri" w:cs="Arial"/>
          <w:color w:val="000000"/>
        </w:rPr>
        <w:t>Key stakeholders are those with whom the service provider interacts during service delivery, and the agencies providing incoming and outgoing referrals. Service providers should establish good working relationships with other agencies, including:</w:t>
      </w:r>
    </w:p>
    <w:p w14:paraId="270084D6"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HSP providers</w:t>
      </w:r>
    </w:p>
    <w:p w14:paraId="59F4DAEF"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AMEP providers</w:t>
      </w:r>
    </w:p>
    <w:p w14:paraId="217FF0D2"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i/>
        </w:rPr>
        <w:t>jobactive</w:t>
      </w:r>
      <w:r w:rsidRPr="00775037">
        <w:rPr>
          <w:rFonts w:eastAsia="Calibri" w:cs="Arial"/>
        </w:rPr>
        <w:t xml:space="preserve"> providers</w:t>
      </w:r>
    </w:p>
    <w:p w14:paraId="444674A4"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Community Hubs</w:t>
      </w:r>
    </w:p>
    <w:p w14:paraId="5DF594F0"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schools</w:t>
      </w:r>
    </w:p>
    <w:p w14:paraId="315FA177"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Centrelink, including Multicultural Service Officers</w:t>
      </w:r>
    </w:p>
    <w:p w14:paraId="3CC229BF"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community services and non-</w:t>
      </w:r>
      <w:r>
        <w:rPr>
          <w:rFonts w:eastAsia="Calibri" w:cs="Arial"/>
        </w:rPr>
        <w:t>Government</w:t>
      </w:r>
      <w:r w:rsidRPr="00775037">
        <w:rPr>
          <w:rFonts w:eastAsia="Calibri" w:cs="Arial"/>
        </w:rPr>
        <w:t>al organisations</w:t>
      </w:r>
    </w:p>
    <w:p w14:paraId="7FC86437"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youth services</w:t>
      </w:r>
    </w:p>
    <w:p w14:paraId="45B99E65"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accommodation and/or refuge services</w:t>
      </w:r>
    </w:p>
    <w:p w14:paraId="7CFE71D0"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charitable organisations</w:t>
      </w:r>
    </w:p>
    <w:p w14:paraId="486132B2"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lastRenderedPageBreak/>
        <w:t xml:space="preserve">state/territory youth social and community services departments and other </w:t>
      </w:r>
      <w:r>
        <w:rPr>
          <w:rFonts w:eastAsia="Calibri" w:cs="Arial"/>
        </w:rPr>
        <w:t>Government</w:t>
      </w:r>
      <w:r w:rsidRPr="00775037">
        <w:rPr>
          <w:rFonts w:eastAsia="Calibri" w:cs="Arial"/>
        </w:rPr>
        <w:t xml:space="preserve"> departments</w:t>
      </w:r>
    </w:p>
    <w:p w14:paraId="53E2B380"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 xml:space="preserve">local </w:t>
      </w:r>
      <w:r>
        <w:rPr>
          <w:rFonts w:eastAsia="Calibri" w:cs="Arial"/>
        </w:rPr>
        <w:t>Government</w:t>
      </w:r>
      <w:r w:rsidRPr="00775037">
        <w:rPr>
          <w:rFonts w:eastAsia="Calibri" w:cs="Arial"/>
        </w:rPr>
        <w:t>s (including maternal child health and other relevant services)</w:t>
      </w:r>
    </w:p>
    <w:p w14:paraId="3B0D115D"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police, juvenile justice and legal services</w:t>
      </w:r>
    </w:p>
    <w:p w14:paraId="7F5FEAC8"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counselling services</w:t>
      </w:r>
    </w:p>
    <w:p w14:paraId="1DBEFE3C"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cultural, recreational and/or sporting groups</w:t>
      </w:r>
    </w:p>
    <w:p w14:paraId="432BF5C6" w14:textId="77777777" w:rsidR="007568B1" w:rsidRPr="00775037" w:rsidRDefault="007568B1" w:rsidP="00C342EE">
      <w:pPr>
        <w:pStyle w:val="ListParagraph"/>
        <w:numPr>
          <w:ilvl w:val="0"/>
          <w:numId w:val="35"/>
        </w:numPr>
        <w:spacing w:before="120"/>
        <w:contextualSpacing w:val="0"/>
        <w:rPr>
          <w:rFonts w:eastAsia="Calibri" w:cs="Arial"/>
        </w:rPr>
      </w:pPr>
      <w:r w:rsidRPr="00775037">
        <w:rPr>
          <w:rFonts w:eastAsia="Calibri" w:cs="Arial"/>
        </w:rPr>
        <w:t>community elders, young people, families and other community groups.</w:t>
      </w:r>
    </w:p>
    <w:p w14:paraId="08808CB1" w14:textId="77777777" w:rsidR="007568B1" w:rsidRDefault="007568B1" w:rsidP="007568B1">
      <w:pPr>
        <w:spacing w:before="0" w:line="440" w:lineRule="atLeast"/>
        <w:rPr>
          <w:rFonts w:asciiTheme="minorHAnsi" w:eastAsiaTheme="minorHAnsi" w:hAnsiTheme="minorHAnsi" w:cstheme="minorBidi"/>
        </w:rPr>
      </w:pPr>
    </w:p>
    <w:p w14:paraId="46A21B05" w14:textId="77777777" w:rsidR="007568B1" w:rsidRDefault="007568B1" w:rsidP="007568B1">
      <w:pPr>
        <w:spacing w:before="0" w:line="440" w:lineRule="atLeast"/>
      </w:pPr>
      <w:r>
        <w:br w:type="page"/>
      </w:r>
    </w:p>
    <w:p w14:paraId="53F37BE9" w14:textId="77777777" w:rsidR="007568B1" w:rsidRDefault="007568B1" w:rsidP="007568B1">
      <w:pPr>
        <w:pStyle w:val="Heading2Appendix"/>
      </w:pPr>
      <w:bookmarkStart w:id="169" w:name="_Toc535934177"/>
      <w:bookmarkStart w:id="170" w:name="_Toc535831183"/>
      <w:bookmarkStart w:id="171" w:name="_Toc3559273"/>
      <w:r>
        <w:lastRenderedPageBreak/>
        <w:t>Appendix E</w:t>
      </w:r>
      <w:bookmarkEnd w:id="169"/>
      <w:bookmarkEnd w:id="170"/>
      <w:bookmarkEnd w:id="171"/>
    </w:p>
    <w:p w14:paraId="3EE58577" w14:textId="77777777" w:rsidR="007568B1" w:rsidRDefault="007568B1" w:rsidP="007568B1">
      <w:pPr>
        <w:spacing w:before="0" w:after="200" w:line="276" w:lineRule="auto"/>
        <w:rPr>
          <w:rFonts w:eastAsia="Calibri"/>
          <w:b/>
        </w:rPr>
      </w:pPr>
      <w:r>
        <w:rPr>
          <w:rFonts w:eastAsia="Calibri"/>
          <w:b/>
        </w:rPr>
        <w:t>SETS – Client Services Expected Deliverables – further information</w:t>
      </w:r>
    </w:p>
    <w:p w14:paraId="063E0EAF" w14:textId="77777777" w:rsidR="007568B1" w:rsidRPr="008C7AE5" w:rsidRDefault="007568B1" w:rsidP="00C342EE">
      <w:pPr>
        <w:pStyle w:val="ListParagraph"/>
        <w:numPr>
          <w:ilvl w:val="0"/>
          <w:numId w:val="39"/>
        </w:numPr>
        <w:spacing w:before="120"/>
        <w:rPr>
          <w:rFonts w:eastAsia="Calibri" w:cs="Arial"/>
        </w:rPr>
      </w:pPr>
      <w:r w:rsidRPr="008C7AE5">
        <w:rPr>
          <w:rFonts w:eastAsia="Calibri" w:cs="Arial"/>
        </w:rPr>
        <w:t>Deliver intake services that provide the opportunity for an initial needs-based assessment to be undertaken that determines the level of support required by the client.</w:t>
      </w:r>
    </w:p>
    <w:p w14:paraId="15C60AFF" w14:textId="77777777" w:rsidR="007568B1" w:rsidRPr="00775037" w:rsidRDefault="007568B1" w:rsidP="00C342EE">
      <w:pPr>
        <w:numPr>
          <w:ilvl w:val="1"/>
          <w:numId w:val="39"/>
        </w:numPr>
        <w:spacing w:before="120"/>
        <w:rPr>
          <w:rFonts w:eastAsia="Calibri" w:cs="Arial"/>
        </w:rPr>
      </w:pPr>
      <w:r w:rsidRPr="00775037">
        <w:rPr>
          <w:rFonts w:eastAsia="Calibri" w:cs="Arial"/>
        </w:rPr>
        <w:t>Each individual has strengths that should be the focus of the interaction between the caseworker and the client. The delivery of SETS - Client Services casework support should draw upon client strengths, with the aim of assisting clients to participate fully and independently in the Australian economy and society.</w:t>
      </w:r>
    </w:p>
    <w:p w14:paraId="69A08DAF" w14:textId="77777777" w:rsidR="007568B1" w:rsidRPr="00775037" w:rsidRDefault="007568B1" w:rsidP="00C342EE">
      <w:pPr>
        <w:numPr>
          <w:ilvl w:val="1"/>
          <w:numId w:val="39"/>
        </w:numPr>
        <w:spacing w:before="120"/>
        <w:rPr>
          <w:rFonts w:eastAsia="Calibri" w:cs="Arial"/>
        </w:rPr>
      </w:pPr>
      <w:r w:rsidRPr="00775037">
        <w:rPr>
          <w:rFonts w:eastAsia="Calibri" w:cs="Arial"/>
        </w:rPr>
        <w:t xml:space="preserve">SETS - Client Services encourages services to use a holistic approach in providing support. </w:t>
      </w:r>
    </w:p>
    <w:p w14:paraId="4F68637E" w14:textId="77777777" w:rsidR="007568B1" w:rsidRPr="00775037" w:rsidRDefault="007568B1" w:rsidP="00C342EE">
      <w:pPr>
        <w:numPr>
          <w:ilvl w:val="1"/>
          <w:numId w:val="39"/>
        </w:numPr>
        <w:spacing w:before="120"/>
        <w:rPr>
          <w:rFonts w:eastAsia="Calibri" w:cs="Arial"/>
        </w:rPr>
      </w:pPr>
      <w:r w:rsidRPr="00775037">
        <w:rPr>
          <w:rFonts w:eastAsia="Calibri" w:cs="Arial"/>
        </w:rPr>
        <w:t xml:space="preserve">Caseworkers should work collaboratively with settlement service providers and communities involved with a client to ensure the best possible settlement outcomes for each client. They should communicate effectively, and work transparently, cooperatively and professionally with any other case workers or professionals who interact with the client (such as AMEP or </w:t>
      </w:r>
      <w:r w:rsidRPr="00775037">
        <w:rPr>
          <w:rFonts w:eastAsia="Calibri" w:cs="Arial"/>
          <w:i/>
        </w:rPr>
        <w:t>jobactive</w:t>
      </w:r>
      <w:r w:rsidRPr="00775037">
        <w:rPr>
          <w:rFonts w:eastAsia="Calibri" w:cs="Arial"/>
        </w:rPr>
        <w:t>).</w:t>
      </w:r>
    </w:p>
    <w:p w14:paraId="72BDA858" w14:textId="77777777" w:rsidR="007568B1" w:rsidRPr="00775037" w:rsidRDefault="007568B1" w:rsidP="00C342EE">
      <w:pPr>
        <w:numPr>
          <w:ilvl w:val="1"/>
          <w:numId w:val="39"/>
        </w:numPr>
        <w:spacing w:before="120"/>
        <w:rPr>
          <w:rFonts w:eastAsia="Calibri" w:cs="Arial"/>
        </w:rPr>
      </w:pPr>
      <w:r w:rsidRPr="00775037">
        <w:rPr>
          <w:rFonts w:eastAsia="Calibri" w:cs="Arial"/>
        </w:rPr>
        <w:t>Clients may move between low- and medium-intensity casework support over the course of their engagement with the service provider.</w:t>
      </w:r>
    </w:p>
    <w:p w14:paraId="70F0346C" w14:textId="77777777" w:rsidR="007568B1" w:rsidRPr="00775037" w:rsidRDefault="007568B1" w:rsidP="00C342EE">
      <w:pPr>
        <w:numPr>
          <w:ilvl w:val="1"/>
          <w:numId w:val="39"/>
        </w:numPr>
        <w:spacing w:before="120"/>
        <w:rPr>
          <w:rFonts w:eastAsia="Calibri" w:cs="Arial"/>
        </w:rPr>
      </w:pPr>
      <w:r w:rsidRPr="00775037">
        <w:rPr>
          <w:rFonts w:eastAsia="Calibri" w:cs="Arial"/>
        </w:rPr>
        <w:t xml:space="preserve">SETS referral services are critical in assisting clients to engage with services, and SETS – Client Services providers can accept referrals from any source. The number and type of referrals should be recorded and collected for monitoring purposes. </w:t>
      </w:r>
    </w:p>
    <w:p w14:paraId="4A180832" w14:textId="77777777" w:rsidR="007568B1" w:rsidRPr="00775037" w:rsidRDefault="007568B1" w:rsidP="00C342EE">
      <w:pPr>
        <w:numPr>
          <w:ilvl w:val="0"/>
          <w:numId w:val="21"/>
        </w:numPr>
        <w:spacing w:before="120"/>
        <w:rPr>
          <w:rFonts w:eastAsia="Calibri" w:cs="Arial"/>
        </w:rPr>
      </w:pPr>
      <w:r w:rsidRPr="00775037">
        <w:rPr>
          <w:rFonts w:eastAsia="Calibri" w:cs="Arial"/>
        </w:rPr>
        <w:t xml:space="preserve">Provide low-intensity casework support to clients requiring minimal assistance to meet their settlement needs and achieve their goals. </w:t>
      </w:r>
    </w:p>
    <w:p w14:paraId="16FF54D6" w14:textId="77777777" w:rsidR="007568B1" w:rsidRPr="008C7AE5" w:rsidRDefault="007568B1" w:rsidP="00C342EE">
      <w:pPr>
        <w:pStyle w:val="ListParagraph"/>
        <w:numPr>
          <w:ilvl w:val="0"/>
          <w:numId w:val="40"/>
        </w:numPr>
        <w:spacing w:before="120"/>
        <w:rPr>
          <w:rFonts w:eastAsia="Calibri" w:cs="Arial"/>
        </w:rPr>
      </w:pPr>
      <w:r w:rsidRPr="008C7AE5">
        <w:rPr>
          <w:rFonts w:eastAsia="Calibri" w:cs="Arial"/>
        </w:rPr>
        <w:t xml:space="preserve">Clients requiring low-intensity support will generally present with the knowledge and skills required to settle into their new community with minimal assistance from a service provider. The client may present at the service only once or at infrequent intervals, and may not see the same caseworker. The scope of low-intensity services may include, but is not limited to: </w:t>
      </w:r>
    </w:p>
    <w:p w14:paraId="5C665415" w14:textId="77777777" w:rsidR="007568B1" w:rsidRPr="00775037" w:rsidRDefault="007568B1" w:rsidP="00C342EE">
      <w:pPr>
        <w:numPr>
          <w:ilvl w:val="1"/>
          <w:numId w:val="40"/>
        </w:numPr>
        <w:spacing w:before="120"/>
        <w:rPr>
          <w:rFonts w:eastAsia="Calibri" w:cs="Arial"/>
        </w:rPr>
      </w:pPr>
      <w:r w:rsidRPr="00775037">
        <w:rPr>
          <w:rFonts w:eastAsia="Calibri" w:cs="Arial"/>
        </w:rPr>
        <w:t xml:space="preserve">Providing settlement-related information and advice. </w:t>
      </w:r>
    </w:p>
    <w:p w14:paraId="5CB48843" w14:textId="77777777" w:rsidR="007568B1" w:rsidRPr="00775037" w:rsidRDefault="007568B1" w:rsidP="00C342EE">
      <w:pPr>
        <w:numPr>
          <w:ilvl w:val="1"/>
          <w:numId w:val="40"/>
        </w:numPr>
        <w:spacing w:before="120"/>
        <w:rPr>
          <w:rFonts w:eastAsia="Calibri" w:cs="Arial"/>
        </w:rPr>
      </w:pPr>
      <w:r w:rsidRPr="00775037">
        <w:rPr>
          <w:rFonts w:eastAsia="Calibri" w:cs="Arial"/>
        </w:rPr>
        <w:t>Referrals to mainstream and other relevant services (warm referrals</w:t>
      </w:r>
      <w:r w:rsidRPr="00775037">
        <w:rPr>
          <w:rFonts w:eastAsia="Calibri" w:cs="Arial"/>
          <w:vertAlign w:val="superscript"/>
        </w:rPr>
        <w:footnoteReference w:id="15"/>
      </w:r>
      <w:r w:rsidRPr="00775037">
        <w:rPr>
          <w:rFonts w:eastAsia="Calibri" w:cs="Arial"/>
        </w:rPr>
        <w:t xml:space="preserve"> where possible).</w:t>
      </w:r>
    </w:p>
    <w:p w14:paraId="14DC5BFE" w14:textId="77777777" w:rsidR="007568B1" w:rsidRPr="00775037" w:rsidRDefault="007568B1" w:rsidP="00C342EE">
      <w:pPr>
        <w:numPr>
          <w:ilvl w:val="1"/>
          <w:numId w:val="40"/>
        </w:numPr>
        <w:spacing w:before="120"/>
        <w:rPr>
          <w:rFonts w:eastAsia="Calibri" w:cs="Arial"/>
        </w:rPr>
      </w:pPr>
      <w:r w:rsidRPr="00775037">
        <w:rPr>
          <w:rFonts w:eastAsia="Calibri" w:cs="Arial"/>
        </w:rPr>
        <w:t>Support for clients to navigate the Australian service system.</w:t>
      </w:r>
    </w:p>
    <w:p w14:paraId="64C1D718" w14:textId="77777777" w:rsidR="007568B1" w:rsidRPr="00775037" w:rsidRDefault="007568B1" w:rsidP="00C342EE">
      <w:pPr>
        <w:numPr>
          <w:ilvl w:val="0"/>
          <w:numId w:val="21"/>
        </w:numPr>
        <w:spacing w:before="120"/>
        <w:rPr>
          <w:rFonts w:eastAsia="Calibri" w:cs="Arial"/>
        </w:rPr>
      </w:pPr>
      <w:r w:rsidRPr="00775037">
        <w:rPr>
          <w:rFonts w:eastAsia="Calibri" w:cs="Arial"/>
        </w:rPr>
        <w:t xml:space="preserve">Provide medium-intensity casework support to clients who are identified as requiring this through the needs assessment, which targets individual needs. </w:t>
      </w:r>
    </w:p>
    <w:p w14:paraId="7B6599EB" w14:textId="77777777" w:rsidR="007568B1" w:rsidRPr="008C7AE5" w:rsidRDefault="007568B1" w:rsidP="00C342EE">
      <w:pPr>
        <w:pStyle w:val="ListParagraph"/>
        <w:numPr>
          <w:ilvl w:val="0"/>
          <w:numId w:val="41"/>
        </w:numPr>
        <w:spacing w:before="120"/>
        <w:rPr>
          <w:rFonts w:eastAsia="Calibri" w:cs="Arial"/>
        </w:rPr>
      </w:pPr>
      <w:r w:rsidRPr="008C7AE5">
        <w:rPr>
          <w:rFonts w:eastAsia="Calibri" w:cs="Arial"/>
        </w:rPr>
        <w:t>Clients requiring medium-intensity support may present with a range of factors impacting on their settlement in Australia, but are not considered to require Specialised and Intensive Services under the HSP</w:t>
      </w:r>
      <w:r w:rsidRPr="00775037">
        <w:rPr>
          <w:rFonts w:eastAsia="Calibri"/>
          <w:vertAlign w:val="superscript"/>
        </w:rPr>
        <w:footnoteReference w:id="16"/>
      </w:r>
      <w:r w:rsidRPr="008C7AE5">
        <w:rPr>
          <w:rFonts w:eastAsia="Calibri" w:cs="Arial"/>
        </w:rPr>
        <w:t xml:space="preserve">. The scope of medium-intensity services may include, but is not limited to: </w:t>
      </w:r>
    </w:p>
    <w:p w14:paraId="03CEC349" w14:textId="77777777" w:rsidR="007568B1" w:rsidRPr="00775037" w:rsidRDefault="007568B1" w:rsidP="00C342EE">
      <w:pPr>
        <w:numPr>
          <w:ilvl w:val="2"/>
          <w:numId w:val="44"/>
        </w:numPr>
        <w:spacing w:before="120"/>
        <w:rPr>
          <w:rFonts w:eastAsia="Calibri" w:cs="Arial"/>
        </w:rPr>
      </w:pPr>
      <w:r w:rsidRPr="00775037">
        <w:rPr>
          <w:rFonts w:eastAsia="Calibri" w:cs="Arial"/>
        </w:rPr>
        <w:t>Assigning a case worker to the client to ensure continuity of support.</w:t>
      </w:r>
    </w:p>
    <w:p w14:paraId="2E268530" w14:textId="77777777" w:rsidR="007568B1" w:rsidRPr="00775037" w:rsidRDefault="007568B1" w:rsidP="00C342EE">
      <w:pPr>
        <w:numPr>
          <w:ilvl w:val="2"/>
          <w:numId w:val="44"/>
        </w:numPr>
        <w:spacing w:before="120"/>
        <w:rPr>
          <w:rFonts w:eastAsia="Calibri" w:cs="Arial"/>
        </w:rPr>
      </w:pPr>
      <w:r w:rsidRPr="00775037">
        <w:rPr>
          <w:rFonts w:eastAsia="Calibri" w:cs="Arial"/>
        </w:rPr>
        <w:t>Undertaking a needs assessment.</w:t>
      </w:r>
    </w:p>
    <w:p w14:paraId="16D048B9" w14:textId="77777777" w:rsidR="007568B1" w:rsidRPr="00775037" w:rsidRDefault="007568B1" w:rsidP="00C342EE">
      <w:pPr>
        <w:numPr>
          <w:ilvl w:val="2"/>
          <w:numId w:val="44"/>
        </w:numPr>
        <w:spacing w:before="120"/>
        <w:rPr>
          <w:rFonts w:eastAsia="Calibri" w:cs="Arial"/>
        </w:rPr>
      </w:pPr>
      <w:r w:rsidRPr="00775037">
        <w:rPr>
          <w:rFonts w:eastAsia="Calibri" w:cs="Arial"/>
        </w:rPr>
        <w:lastRenderedPageBreak/>
        <w:t>Developing a case plan with the client to identify the actions, responsibilities and timeframes needed to achieve identified outcomes.</w:t>
      </w:r>
    </w:p>
    <w:p w14:paraId="4F82A338" w14:textId="77777777" w:rsidR="007568B1" w:rsidRPr="00775037" w:rsidRDefault="007568B1" w:rsidP="00C342EE">
      <w:pPr>
        <w:numPr>
          <w:ilvl w:val="2"/>
          <w:numId w:val="44"/>
        </w:numPr>
        <w:spacing w:before="120"/>
        <w:rPr>
          <w:rFonts w:eastAsia="Calibri" w:cs="Arial"/>
        </w:rPr>
      </w:pPr>
      <w:r w:rsidRPr="00775037">
        <w:rPr>
          <w:rFonts w:eastAsia="Calibri" w:cs="Arial"/>
        </w:rPr>
        <w:t>Providing settlement-related information and advice.</w:t>
      </w:r>
    </w:p>
    <w:p w14:paraId="61BC7628" w14:textId="77777777" w:rsidR="007568B1" w:rsidRPr="00775037" w:rsidRDefault="007568B1" w:rsidP="00C342EE">
      <w:pPr>
        <w:numPr>
          <w:ilvl w:val="2"/>
          <w:numId w:val="44"/>
        </w:numPr>
        <w:spacing w:before="120"/>
        <w:rPr>
          <w:rFonts w:eastAsia="Calibri" w:cs="Arial"/>
        </w:rPr>
      </w:pPr>
      <w:r w:rsidRPr="00775037">
        <w:rPr>
          <w:rFonts w:eastAsia="Calibri" w:cs="Arial"/>
        </w:rPr>
        <w:t xml:space="preserve">Warm referrals to mainstream and other relevant services; in particular, to facilitate outcomes that relate to employment readiness, support engagement with education and training and activities that facilitate the acquisition of English language (often referred to as the 3Es), e.g. AMEP and </w:t>
      </w:r>
      <w:r w:rsidRPr="008C7AE5">
        <w:rPr>
          <w:rFonts w:eastAsia="Calibri" w:cs="Arial"/>
        </w:rPr>
        <w:t>jobactive</w:t>
      </w:r>
      <w:r w:rsidRPr="00775037">
        <w:rPr>
          <w:rFonts w:eastAsia="Calibri" w:cs="Arial"/>
        </w:rPr>
        <w:t xml:space="preserve"> services.</w:t>
      </w:r>
    </w:p>
    <w:p w14:paraId="160DBC11" w14:textId="77777777" w:rsidR="007568B1" w:rsidRPr="00775037" w:rsidRDefault="007568B1" w:rsidP="00C342EE">
      <w:pPr>
        <w:numPr>
          <w:ilvl w:val="2"/>
          <w:numId w:val="44"/>
        </w:numPr>
        <w:spacing w:before="120"/>
        <w:rPr>
          <w:rFonts w:eastAsia="Calibri" w:cs="Arial"/>
        </w:rPr>
      </w:pPr>
      <w:r w:rsidRPr="00775037">
        <w:rPr>
          <w:rFonts w:eastAsia="Calibri" w:cs="Arial"/>
        </w:rPr>
        <w:t>Support clients to navigate the Australian service system.</w:t>
      </w:r>
    </w:p>
    <w:p w14:paraId="27F4A25B" w14:textId="77777777" w:rsidR="007568B1" w:rsidRPr="00775037" w:rsidRDefault="007568B1" w:rsidP="00C342EE">
      <w:pPr>
        <w:numPr>
          <w:ilvl w:val="2"/>
          <w:numId w:val="44"/>
        </w:numPr>
        <w:spacing w:before="120"/>
        <w:rPr>
          <w:rFonts w:eastAsia="Calibri" w:cs="Arial"/>
        </w:rPr>
      </w:pPr>
      <w:r w:rsidRPr="00775037">
        <w:rPr>
          <w:rFonts w:eastAsia="Calibri" w:cs="Arial"/>
        </w:rPr>
        <w:t>Providing outreach services when required, not routinely.</w:t>
      </w:r>
    </w:p>
    <w:p w14:paraId="6F055027" w14:textId="77777777" w:rsidR="007568B1" w:rsidRPr="00775037" w:rsidRDefault="007568B1" w:rsidP="00C342EE">
      <w:pPr>
        <w:numPr>
          <w:ilvl w:val="2"/>
          <w:numId w:val="44"/>
        </w:numPr>
        <w:spacing w:before="120"/>
        <w:rPr>
          <w:rFonts w:eastAsia="Calibri" w:cs="Arial"/>
        </w:rPr>
      </w:pPr>
      <w:r w:rsidRPr="00775037">
        <w:rPr>
          <w:rFonts w:eastAsia="Calibri" w:cs="Arial"/>
        </w:rPr>
        <w:t>Assistance would be on an ongoing basis until the needs of the client are met. Contact with the client would be regular.</w:t>
      </w:r>
    </w:p>
    <w:p w14:paraId="39E0D2DE" w14:textId="77777777" w:rsidR="007568B1" w:rsidRPr="00775037" w:rsidRDefault="007568B1" w:rsidP="00C342EE">
      <w:pPr>
        <w:numPr>
          <w:ilvl w:val="0"/>
          <w:numId w:val="21"/>
        </w:numPr>
        <w:spacing w:before="120"/>
        <w:rPr>
          <w:rFonts w:eastAsia="Calibri" w:cs="Arial"/>
        </w:rPr>
      </w:pPr>
      <w:r w:rsidRPr="00775037">
        <w:rPr>
          <w:rFonts w:eastAsia="Calibri" w:cs="Arial"/>
        </w:rPr>
        <w:t>Deliver services targeted at youth. Youth specific services may include, but are not limited to:</w:t>
      </w:r>
    </w:p>
    <w:p w14:paraId="01065B4E" w14:textId="77777777" w:rsidR="007568B1" w:rsidRPr="00775037" w:rsidRDefault="007568B1" w:rsidP="00C342EE">
      <w:pPr>
        <w:pStyle w:val="Bullet2"/>
        <w:numPr>
          <w:ilvl w:val="1"/>
          <w:numId w:val="42"/>
        </w:numPr>
      </w:pPr>
      <w:r w:rsidRPr="00775037">
        <w:t>Providing flexible education and/or employment support options to meet the varying needs of those who experience disruption to schooling.</w:t>
      </w:r>
    </w:p>
    <w:p w14:paraId="6BE96BD7" w14:textId="77777777" w:rsidR="007568B1" w:rsidRPr="00775037" w:rsidRDefault="007568B1" w:rsidP="00C342EE">
      <w:pPr>
        <w:pStyle w:val="Bullet2"/>
        <w:numPr>
          <w:ilvl w:val="1"/>
          <w:numId w:val="42"/>
        </w:numPr>
      </w:pPr>
      <w:r w:rsidRPr="00775037">
        <w:t>Providing opportunities or support to young people to access volunteering opportunities, internships or work experience, to improve their employability.</w:t>
      </w:r>
    </w:p>
    <w:p w14:paraId="74DB1343" w14:textId="77777777" w:rsidR="007568B1" w:rsidRPr="00775037" w:rsidRDefault="007568B1" w:rsidP="00C342EE">
      <w:pPr>
        <w:pStyle w:val="Bullet2"/>
        <w:numPr>
          <w:ilvl w:val="1"/>
          <w:numId w:val="42"/>
        </w:numPr>
      </w:pPr>
      <w:r w:rsidRPr="00775037">
        <w:t>Working with young people to think about and articulate their goals for the future.</w:t>
      </w:r>
    </w:p>
    <w:p w14:paraId="137ED5F9" w14:textId="77777777" w:rsidR="007568B1" w:rsidRPr="00775037" w:rsidRDefault="007568B1" w:rsidP="00C342EE">
      <w:pPr>
        <w:pStyle w:val="Bullet2"/>
        <w:numPr>
          <w:ilvl w:val="1"/>
          <w:numId w:val="42"/>
        </w:numPr>
      </w:pPr>
      <w:r w:rsidRPr="00775037">
        <w:t>Supporting family members to understand and support a young person’s goals and pathways, including understanding the Australian education and employment system.</w:t>
      </w:r>
    </w:p>
    <w:p w14:paraId="03E362D7" w14:textId="77777777" w:rsidR="007568B1" w:rsidRPr="00775037" w:rsidRDefault="007568B1" w:rsidP="007568B1">
      <w:pPr>
        <w:spacing w:before="120"/>
        <w:ind w:left="568"/>
        <w:rPr>
          <w:rFonts w:eastAsia="Calibri" w:cs="Arial"/>
        </w:rPr>
      </w:pPr>
      <w:r w:rsidRPr="00775037">
        <w:rPr>
          <w:rFonts w:eastAsia="Calibri" w:cs="Arial"/>
        </w:rPr>
        <w:t xml:space="preserve">Possible activities and strategies relating to youth are further described at </w:t>
      </w:r>
      <w:r w:rsidRPr="00775037">
        <w:rPr>
          <w:rFonts w:eastAsia="Calibri" w:cs="Arial"/>
          <w:b/>
        </w:rPr>
        <w:t>Appendix C.</w:t>
      </w:r>
    </w:p>
    <w:p w14:paraId="45537A1E" w14:textId="77777777" w:rsidR="007568B1" w:rsidRPr="00775037" w:rsidRDefault="007568B1" w:rsidP="00C342EE">
      <w:pPr>
        <w:numPr>
          <w:ilvl w:val="0"/>
          <w:numId w:val="21"/>
        </w:numPr>
        <w:spacing w:before="120"/>
        <w:rPr>
          <w:rFonts w:eastAsia="Calibri" w:cs="Arial"/>
        </w:rPr>
      </w:pPr>
      <w:r w:rsidRPr="00775037">
        <w:rPr>
          <w:rFonts w:eastAsia="Calibri" w:cs="Arial"/>
        </w:rPr>
        <w:t xml:space="preserve">Address client needs through casework and targeted group sessions that align with the nine priority areas identified in the National Settlement Framework. </w:t>
      </w:r>
    </w:p>
    <w:p w14:paraId="2E80AA97" w14:textId="77777777" w:rsidR="007568B1" w:rsidRPr="00775037" w:rsidRDefault="007568B1" w:rsidP="00C342EE">
      <w:pPr>
        <w:numPr>
          <w:ilvl w:val="1"/>
          <w:numId w:val="43"/>
        </w:numPr>
        <w:spacing w:before="120"/>
        <w:rPr>
          <w:rFonts w:eastAsia="Calibri" w:cs="Arial"/>
        </w:rPr>
      </w:pPr>
      <w:r w:rsidRPr="00775037">
        <w:rPr>
          <w:rFonts w:eastAsia="Calibri" w:cs="Arial"/>
        </w:rPr>
        <w:t xml:space="preserve">Priority should be given to activities that facilitate the acquisition of English language, support engagement with education and training and build employment readiness as appropriate, as the </w:t>
      </w:r>
      <w:r>
        <w:rPr>
          <w:rFonts w:eastAsia="Calibri" w:cs="Arial"/>
        </w:rPr>
        <w:t>Australian Government</w:t>
      </w:r>
      <w:r w:rsidRPr="00775037">
        <w:rPr>
          <w:rFonts w:eastAsia="Calibri" w:cs="Arial"/>
        </w:rPr>
        <w:t xml:space="preserve"> considers these to be key building blocks to successful settlement. </w:t>
      </w:r>
    </w:p>
    <w:p w14:paraId="191D2698" w14:textId="77777777" w:rsidR="007568B1" w:rsidRPr="00775037" w:rsidRDefault="007568B1" w:rsidP="00C342EE">
      <w:pPr>
        <w:numPr>
          <w:ilvl w:val="1"/>
          <w:numId w:val="43"/>
        </w:numPr>
        <w:spacing w:before="120"/>
        <w:rPr>
          <w:rFonts w:eastAsia="Calibri" w:cs="Arial"/>
        </w:rPr>
      </w:pPr>
      <w:r w:rsidRPr="00775037">
        <w:rPr>
          <w:rFonts w:eastAsia="Calibri" w:cs="Arial"/>
        </w:rPr>
        <w:t>Group-based activities may include, but are not limited to:</w:t>
      </w:r>
    </w:p>
    <w:p w14:paraId="0E5E507E" w14:textId="77777777" w:rsidR="007568B1" w:rsidRPr="00775037" w:rsidRDefault="007568B1" w:rsidP="00C342EE">
      <w:pPr>
        <w:numPr>
          <w:ilvl w:val="2"/>
          <w:numId w:val="44"/>
        </w:numPr>
        <w:spacing w:before="120"/>
        <w:rPr>
          <w:rFonts w:eastAsia="Calibri" w:cs="Arial"/>
        </w:rPr>
      </w:pPr>
      <w:r w:rsidRPr="00775037">
        <w:rPr>
          <w:rFonts w:eastAsia="Calibri" w:cs="Arial"/>
        </w:rPr>
        <w:t xml:space="preserve">One-off or ongoing information sessions relating to the National Settlement Framework priority areas, for example, inviting an expert to provide information on a specific topic. </w:t>
      </w:r>
    </w:p>
    <w:p w14:paraId="534298E3" w14:textId="77777777" w:rsidR="007568B1" w:rsidRPr="00775037" w:rsidRDefault="007568B1" w:rsidP="00C342EE">
      <w:pPr>
        <w:numPr>
          <w:ilvl w:val="2"/>
          <w:numId w:val="44"/>
        </w:numPr>
        <w:spacing w:before="120"/>
        <w:rPr>
          <w:rFonts w:eastAsia="Calibri" w:cs="Arial"/>
        </w:rPr>
      </w:pPr>
      <w:r w:rsidRPr="00775037">
        <w:rPr>
          <w:rFonts w:eastAsia="Calibri" w:cs="Arial"/>
        </w:rPr>
        <w:t>One-off or ongoing workshops, for example ‘Life Skills’ sessions.</w:t>
      </w:r>
    </w:p>
    <w:p w14:paraId="3CF00F43" w14:textId="77777777" w:rsidR="007568B1" w:rsidRPr="00775037" w:rsidRDefault="007568B1" w:rsidP="00C342EE">
      <w:pPr>
        <w:numPr>
          <w:ilvl w:val="2"/>
          <w:numId w:val="44"/>
        </w:numPr>
        <w:spacing w:before="120"/>
        <w:rPr>
          <w:rFonts w:eastAsia="Calibri" w:cs="Arial"/>
        </w:rPr>
      </w:pPr>
      <w:r w:rsidRPr="00775037">
        <w:rPr>
          <w:rFonts w:eastAsia="Calibri" w:cs="Arial"/>
        </w:rPr>
        <w:t>Structured groups that meet regularly on an ongoing basis.</w:t>
      </w:r>
    </w:p>
    <w:p w14:paraId="60864C2A" w14:textId="77777777" w:rsidR="007568B1" w:rsidRPr="00775037" w:rsidRDefault="007568B1" w:rsidP="007568B1">
      <w:pPr>
        <w:spacing w:before="120"/>
        <w:rPr>
          <w:rFonts w:eastAsia="Calibri" w:cs="Arial"/>
        </w:rPr>
      </w:pPr>
      <w:r w:rsidRPr="00775037">
        <w:rPr>
          <w:rFonts w:eastAsia="Calibri" w:cs="Arial"/>
        </w:rPr>
        <w:t xml:space="preserve">Refer to </w:t>
      </w:r>
      <w:r w:rsidRPr="00775037">
        <w:rPr>
          <w:rFonts w:eastAsia="Calibri" w:cs="Arial"/>
          <w:b/>
        </w:rPr>
        <w:t>Appendix A</w:t>
      </w:r>
      <w:r w:rsidRPr="00775037">
        <w:rPr>
          <w:rFonts w:eastAsia="Calibri" w:cs="Arial"/>
        </w:rPr>
        <w:t xml:space="preserve"> for further information on the types of services and support under the National Settlement Framework, including English, education and employment.</w:t>
      </w:r>
    </w:p>
    <w:p w14:paraId="1B24C465" w14:textId="17612FFE" w:rsidR="007568B1" w:rsidRPr="00775037" w:rsidRDefault="007568B1" w:rsidP="00C342EE">
      <w:pPr>
        <w:numPr>
          <w:ilvl w:val="0"/>
          <w:numId w:val="21"/>
        </w:numPr>
        <w:spacing w:before="120"/>
        <w:rPr>
          <w:rFonts w:eastAsia="Calibri" w:cs="Arial"/>
        </w:rPr>
      </w:pPr>
      <w:r w:rsidRPr="00775037">
        <w:rPr>
          <w:rFonts w:eastAsia="Calibri" w:cs="Arial"/>
        </w:rPr>
        <w:t xml:space="preserve">Strengthen relationships with other settlement and mainstream services at the operational level. This may include advocating with services for improved referral pathways and developing informal or formal partnerships. Further information on developing links and improving collaboration with other agencies at </w:t>
      </w:r>
      <w:r w:rsidRPr="00775037">
        <w:rPr>
          <w:rFonts w:eastAsia="Calibri" w:cs="Arial"/>
          <w:b/>
        </w:rPr>
        <w:t>Appendix D.</w:t>
      </w:r>
      <w:r w:rsidRPr="00775037">
        <w:rPr>
          <w:rFonts w:eastAsia="Calibri" w:cs="Arial"/>
        </w:rPr>
        <w:t xml:space="preserve"> </w:t>
      </w:r>
    </w:p>
    <w:p w14:paraId="79795215" w14:textId="5052A889" w:rsidR="007568B1" w:rsidRPr="00387FC0" w:rsidRDefault="007568B1" w:rsidP="00C342EE">
      <w:pPr>
        <w:numPr>
          <w:ilvl w:val="0"/>
          <w:numId w:val="21"/>
        </w:numPr>
        <w:spacing w:before="120"/>
      </w:pPr>
      <w:r w:rsidRPr="008C7AE5">
        <w:rPr>
          <w:rFonts w:eastAsia="Calibri" w:cs="Arial"/>
        </w:rPr>
        <w:t>Conduct community consultations to discuss issues, needs, and challenges affecting the settlement and integration of specific cohorts.</w:t>
      </w:r>
      <w:bookmarkStart w:id="172" w:name="_Toc446066197"/>
      <w:bookmarkStart w:id="173" w:name="_Toc446408296"/>
      <w:bookmarkStart w:id="174" w:name="_Toc446428050"/>
      <w:bookmarkStart w:id="175" w:name="_Toc446499557"/>
      <w:bookmarkStart w:id="176" w:name="_Toc447289108"/>
      <w:bookmarkStart w:id="177" w:name="_Toc447291654"/>
      <w:bookmarkStart w:id="178" w:name="_Toc448833386"/>
      <w:bookmarkStart w:id="179" w:name="_Toc446066198"/>
      <w:bookmarkStart w:id="180" w:name="_Toc446408297"/>
      <w:bookmarkStart w:id="181" w:name="_Toc446428051"/>
      <w:bookmarkStart w:id="182" w:name="_Toc446499558"/>
      <w:bookmarkStart w:id="183" w:name="_Toc447289109"/>
      <w:bookmarkStart w:id="184" w:name="_Toc447291655"/>
      <w:bookmarkStart w:id="185" w:name="_Toc448833387"/>
      <w:bookmarkStart w:id="186" w:name="_Toc446066199"/>
      <w:bookmarkStart w:id="187" w:name="_Toc446408298"/>
      <w:bookmarkStart w:id="188" w:name="_Toc446428052"/>
      <w:bookmarkStart w:id="189" w:name="_Toc446499559"/>
      <w:bookmarkStart w:id="190" w:name="_Toc447289110"/>
      <w:bookmarkStart w:id="191" w:name="_Toc447291656"/>
      <w:bookmarkStart w:id="192" w:name="_Toc448833388"/>
      <w:bookmarkStart w:id="193" w:name="_Toc447291659"/>
      <w:bookmarkStart w:id="194" w:name="_Toc448833391"/>
      <w:bookmarkStart w:id="195" w:name="_Toc446066187"/>
      <w:bookmarkStart w:id="196" w:name="_Toc446408286"/>
      <w:bookmarkStart w:id="197" w:name="_Toc446428040"/>
      <w:bookmarkStart w:id="198" w:name="_Toc446499547"/>
      <w:bookmarkStart w:id="199" w:name="_Toc447289098"/>
      <w:bookmarkStart w:id="200" w:name="_Toc447291644"/>
      <w:bookmarkStart w:id="201" w:name="_Toc448833376"/>
      <w:bookmarkStart w:id="202" w:name="_Toc446066188"/>
      <w:bookmarkStart w:id="203" w:name="_Toc446408287"/>
      <w:bookmarkStart w:id="204" w:name="_Toc446428041"/>
      <w:bookmarkStart w:id="205" w:name="_Toc446499548"/>
      <w:bookmarkStart w:id="206" w:name="_Toc447289099"/>
      <w:bookmarkStart w:id="207" w:name="_Toc447291645"/>
      <w:bookmarkStart w:id="208" w:name="_Toc448833377"/>
      <w:bookmarkStart w:id="209" w:name="_Toc446066189"/>
      <w:bookmarkStart w:id="210" w:name="_Toc446408288"/>
      <w:bookmarkStart w:id="211" w:name="_Toc446428042"/>
      <w:bookmarkStart w:id="212" w:name="_Toc446499549"/>
      <w:bookmarkStart w:id="213" w:name="_Toc447289100"/>
      <w:bookmarkStart w:id="214" w:name="_Toc447291646"/>
      <w:bookmarkStart w:id="215" w:name="_Toc448833378"/>
      <w:bookmarkStart w:id="216" w:name="_Toc446066190"/>
      <w:bookmarkStart w:id="217" w:name="_Toc446408289"/>
      <w:bookmarkStart w:id="218" w:name="_Toc446428043"/>
      <w:bookmarkStart w:id="219" w:name="_Toc446499550"/>
      <w:bookmarkStart w:id="220" w:name="_Toc447289101"/>
      <w:bookmarkStart w:id="221" w:name="_Toc447291647"/>
      <w:bookmarkStart w:id="222" w:name="_Toc448833379"/>
      <w:bookmarkStart w:id="223" w:name="_Toc446066191"/>
      <w:bookmarkStart w:id="224" w:name="_Toc446408290"/>
      <w:bookmarkStart w:id="225" w:name="_Toc446428044"/>
      <w:bookmarkStart w:id="226" w:name="_Toc446499551"/>
      <w:bookmarkStart w:id="227" w:name="_Toc447289102"/>
      <w:bookmarkStart w:id="228" w:name="_Toc447291648"/>
      <w:bookmarkStart w:id="229" w:name="_Toc448833380"/>
      <w:bookmarkStart w:id="230" w:name="_Toc446066192"/>
      <w:bookmarkStart w:id="231" w:name="_Toc446408291"/>
      <w:bookmarkStart w:id="232" w:name="_Toc446428045"/>
      <w:bookmarkStart w:id="233" w:name="_Toc446499552"/>
      <w:bookmarkStart w:id="234" w:name="_Toc447289103"/>
      <w:bookmarkStart w:id="235" w:name="_Toc447291649"/>
      <w:bookmarkStart w:id="236" w:name="_Toc448833381"/>
      <w:bookmarkStart w:id="237" w:name="_Toc446066193"/>
      <w:bookmarkStart w:id="238" w:name="_Toc446408292"/>
      <w:bookmarkStart w:id="239" w:name="_Toc446428046"/>
      <w:bookmarkStart w:id="240" w:name="_Toc446499553"/>
      <w:bookmarkStart w:id="241" w:name="_Toc447289104"/>
      <w:bookmarkStart w:id="242" w:name="_Toc447291650"/>
      <w:bookmarkStart w:id="243" w:name="_Toc448833382"/>
      <w:bookmarkStart w:id="244" w:name="_Toc446066194"/>
      <w:bookmarkStart w:id="245" w:name="_Toc535831184"/>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1681254" w14:textId="1A08ED83" w:rsidR="00387FC0" w:rsidRPr="007568B1" w:rsidRDefault="00387FC0" w:rsidP="007568B1"/>
    <w:sectPr w:rsidR="00387FC0" w:rsidRPr="007568B1" w:rsidSect="0002331D">
      <w:headerReference w:type="default" r:id="rId76"/>
      <w:footerReference w:type="default" r:id="rId77"/>
      <w:headerReference w:type="first" r:id="rId78"/>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E0AB9" w14:textId="77777777" w:rsidR="007E556E" w:rsidRDefault="007E556E" w:rsidP="00077C3D">
      <w:r>
        <w:separator/>
      </w:r>
    </w:p>
  </w:endnote>
  <w:endnote w:type="continuationSeparator" w:id="0">
    <w:p w14:paraId="20340879" w14:textId="77777777" w:rsidR="007E556E" w:rsidRDefault="007E556E" w:rsidP="00077C3D">
      <w:r>
        <w:continuationSeparator/>
      </w:r>
    </w:p>
  </w:endnote>
  <w:endnote w:type="continuationNotice" w:id="1">
    <w:p w14:paraId="3876C609" w14:textId="77777777" w:rsidR="007E556E" w:rsidRDefault="007E556E"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D4146" w14:textId="036E662A" w:rsidR="00C03308" w:rsidRPr="005B1EAD" w:rsidRDefault="00C03308" w:rsidP="0002331D">
    <w:pPr>
      <w:pStyle w:val="Footer"/>
      <w:tabs>
        <w:tab w:val="clear" w:pos="4153"/>
        <w:tab w:val="clear" w:pos="8306"/>
        <w:tab w:val="center" w:pos="6096"/>
        <w:tab w:val="right" w:pos="8789"/>
      </w:tabs>
      <w:rPr>
        <w:noProof/>
      </w:rPr>
    </w:pPr>
    <w:r w:rsidRPr="005B1EAD">
      <w:t>Settlement Engagement and Transition Support (SETS) Client Services Guidelines</w:t>
    </w:r>
    <w:r w:rsidRPr="005B1EAD">
      <w:tab/>
    </w:r>
    <w:r w:rsidRPr="005B1EAD">
      <w:tab/>
      <w:t xml:space="preserve">Page </w:t>
    </w:r>
    <w:r w:rsidRPr="005B1EAD">
      <w:fldChar w:fldCharType="begin"/>
    </w:r>
    <w:r w:rsidRPr="005B1EAD">
      <w:instrText xml:space="preserve"> PAGE </w:instrText>
    </w:r>
    <w:r w:rsidRPr="005B1EAD">
      <w:fldChar w:fldCharType="separate"/>
    </w:r>
    <w:r w:rsidR="003F7079">
      <w:rPr>
        <w:noProof/>
      </w:rPr>
      <w:t>7</w:t>
    </w:r>
    <w:r w:rsidRPr="005B1EAD">
      <w:fldChar w:fldCharType="end"/>
    </w:r>
    <w:r w:rsidRPr="005B1EAD">
      <w:t xml:space="preserve"> of </w:t>
    </w:r>
    <w:r w:rsidRPr="005B1EAD">
      <w:rPr>
        <w:noProof/>
      </w:rPr>
      <w:fldChar w:fldCharType="begin"/>
    </w:r>
    <w:r w:rsidRPr="005B1EAD">
      <w:rPr>
        <w:noProof/>
      </w:rPr>
      <w:instrText xml:space="preserve"> NUMPAGES </w:instrText>
    </w:r>
    <w:r w:rsidRPr="005B1EAD">
      <w:rPr>
        <w:noProof/>
      </w:rPr>
      <w:fldChar w:fldCharType="separate"/>
    </w:r>
    <w:r w:rsidR="003F7079">
      <w:rPr>
        <w:noProof/>
      </w:rPr>
      <w:t>39</w:t>
    </w:r>
    <w:r w:rsidRPr="005B1EA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EB9D7" w14:textId="59A1F15C" w:rsidR="00C03308" w:rsidRPr="005B1EAD" w:rsidRDefault="00C03308" w:rsidP="0002331D">
    <w:pPr>
      <w:pStyle w:val="Footer"/>
      <w:tabs>
        <w:tab w:val="clear" w:pos="4153"/>
        <w:tab w:val="clear" w:pos="8306"/>
        <w:tab w:val="center" w:pos="6096"/>
        <w:tab w:val="right" w:pos="8789"/>
      </w:tabs>
      <w:rPr>
        <w:noProof/>
      </w:rPr>
    </w:pPr>
    <w:r w:rsidRPr="005B1EAD">
      <w:t>Settlement Engagement and Transition Support (SETS) Client Services Guidelines</w:t>
    </w:r>
    <w:r w:rsidRPr="005B1EAD">
      <w:tab/>
    </w:r>
    <w:r w:rsidRPr="005B1EAD">
      <w:tab/>
      <w:t xml:space="preserve">Page </w:t>
    </w:r>
    <w:r w:rsidRPr="005B1EAD">
      <w:fldChar w:fldCharType="begin"/>
    </w:r>
    <w:r w:rsidRPr="005B1EAD">
      <w:instrText xml:space="preserve"> PAGE </w:instrText>
    </w:r>
    <w:r w:rsidRPr="005B1EAD">
      <w:fldChar w:fldCharType="separate"/>
    </w:r>
    <w:r w:rsidR="003F7079">
      <w:rPr>
        <w:noProof/>
      </w:rPr>
      <w:t>39</w:t>
    </w:r>
    <w:r w:rsidRPr="005B1EAD">
      <w:fldChar w:fldCharType="end"/>
    </w:r>
    <w:r w:rsidRPr="005B1EAD">
      <w:t xml:space="preserve"> of </w:t>
    </w:r>
    <w:r w:rsidRPr="005B1EAD">
      <w:rPr>
        <w:noProof/>
      </w:rPr>
      <w:fldChar w:fldCharType="begin"/>
    </w:r>
    <w:r w:rsidRPr="005B1EAD">
      <w:rPr>
        <w:noProof/>
      </w:rPr>
      <w:instrText xml:space="preserve"> NUMPAGES </w:instrText>
    </w:r>
    <w:r w:rsidRPr="005B1EAD">
      <w:rPr>
        <w:noProof/>
      </w:rPr>
      <w:fldChar w:fldCharType="separate"/>
    </w:r>
    <w:r w:rsidR="003F7079">
      <w:rPr>
        <w:noProof/>
      </w:rPr>
      <w:t>39</w:t>
    </w:r>
    <w:r w:rsidRPr="005B1EA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6B8FE" w14:textId="77777777" w:rsidR="007E556E" w:rsidRDefault="007E556E" w:rsidP="00077C3D">
      <w:r>
        <w:separator/>
      </w:r>
    </w:p>
  </w:footnote>
  <w:footnote w:type="continuationSeparator" w:id="0">
    <w:p w14:paraId="2D559CE9" w14:textId="77777777" w:rsidR="007E556E" w:rsidRDefault="007E556E" w:rsidP="00077C3D">
      <w:r>
        <w:continuationSeparator/>
      </w:r>
    </w:p>
  </w:footnote>
  <w:footnote w:type="continuationNotice" w:id="1">
    <w:p w14:paraId="401DD770" w14:textId="77777777" w:rsidR="007E556E" w:rsidRDefault="007E556E" w:rsidP="00077C3D"/>
  </w:footnote>
  <w:footnote w:id="2">
    <w:p w14:paraId="18288AB0" w14:textId="77777777" w:rsidR="00C03308" w:rsidRDefault="00C03308" w:rsidP="007568B1">
      <w:pPr>
        <w:pStyle w:val="FootnoteText"/>
      </w:pPr>
      <w:r>
        <w:rPr>
          <w:rStyle w:val="FootnoteReference"/>
        </w:rPr>
        <w:footnoteRef/>
      </w:r>
      <w:r>
        <w:t xml:space="preserve"> F</w:t>
      </w:r>
      <w:r>
        <w:rPr>
          <w:rStyle w:val="Hyperlink"/>
          <w:rFonts w:cstheme="minorHAnsi"/>
          <w:color w:val="17365D" w:themeColor="text2" w:themeShade="BF"/>
        </w:rPr>
        <w:t xml:space="preserve">urther strategic information about SETS is available in a </w:t>
      </w:r>
      <w:hyperlink r:id="rId1" w:history="1">
        <w:r>
          <w:rPr>
            <w:rStyle w:val="Hyperlink"/>
            <w:rFonts w:cstheme="minorHAnsi"/>
          </w:rPr>
          <w:t>Forecast Opportunity</w:t>
        </w:r>
      </w:hyperlink>
      <w:r>
        <w:rPr>
          <w:rStyle w:val="Hyperlink"/>
          <w:rFonts w:cstheme="minorHAnsi"/>
          <w:color w:val="17365D" w:themeColor="text2" w:themeShade="BF"/>
        </w:rPr>
        <w:t xml:space="preserve"> on </w:t>
      </w:r>
      <w:hyperlink r:id="rId2" w:history="1">
        <w:r>
          <w:rPr>
            <w:rStyle w:val="Hyperlink"/>
            <w:rFonts w:cstheme="minorHAnsi"/>
          </w:rPr>
          <w:t>GrantConnect</w:t>
        </w:r>
      </w:hyperlink>
      <w:r>
        <w:rPr>
          <w:rStyle w:val="Hyperlink"/>
          <w:rFonts w:cstheme="minorHAnsi"/>
          <w:color w:val="17365D" w:themeColor="text2" w:themeShade="BF"/>
        </w:rPr>
        <w:t>.</w:t>
      </w:r>
    </w:p>
  </w:footnote>
  <w:footnote w:id="3">
    <w:p w14:paraId="665D4B97" w14:textId="77777777" w:rsidR="00C03308" w:rsidRPr="001D588E" w:rsidRDefault="00C03308" w:rsidP="007568B1">
      <w:pPr>
        <w:pStyle w:val="FootnoteText"/>
        <w:spacing w:after="0"/>
        <w:rPr>
          <w:rFonts w:asciiTheme="minorHAnsi" w:eastAsiaTheme="minorHAnsi" w:hAnsiTheme="minorHAnsi" w:cstheme="minorBidi"/>
          <w:szCs w:val="16"/>
        </w:rPr>
      </w:pPr>
      <w:r>
        <w:rPr>
          <w:rStyle w:val="FootnoteReference"/>
        </w:rPr>
        <w:footnoteRef/>
      </w:r>
      <w:r>
        <w:t xml:space="preserve"> </w:t>
      </w:r>
      <w:r w:rsidRPr="001D588E">
        <w:rPr>
          <w:szCs w:val="16"/>
        </w:rPr>
        <w:t xml:space="preserve">Refer to </w:t>
      </w:r>
      <w:hyperlink r:id="rId3" w:anchor="Glossary" w:history="1">
        <w:r w:rsidRPr="001D588E">
          <w:rPr>
            <w:rStyle w:val="Hyperlink"/>
            <w:i/>
            <w:szCs w:val="16"/>
          </w:rPr>
          <w:t>Glossary</w:t>
        </w:r>
      </w:hyperlink>
      <w:r w:rsidRPr="001D588E">
        <w:rPr>
          <w:i/>
          <w:szCs w:val="16"/>
        </w:rPr>
        <w:t xml:space="preserve"> </w:t>
      </w:r>
      <w:r w:rsidRPr="001D588E">
        <w:rPr>
          <w:szCs w:val="16"/>
        </w:rPr>
        <w:t>for definition.</w:t>
      </w:r>
    </w:p>
  </w:footnote>
  <w:footnote w:id="4">
    <w:p w14:paraId="2429CEE7" w14:textId="24294DC6" w:rsidR="00C03308" w:rsidRDefault="00C03308" w:rsidP="007568B1">
      <w:pPr>
        <w:pStyle w:val="FootnoteText"/>
      </w:pPr>
      <w:r>
        <w:rPr>
          <w:rStyle w:val="FootnoteReference"/>
        </w:rPr>
        <w:footnoteRef/>
      </w:r>
      <w:r>
        <w:t xml:space="preserve"> </w:t>
      </w:r>
      <w:r w:rsidRPr="006967B2">
        <w:t xml:space="preserve">The </w:t>
      </w:r>
      <w:r>
        <w:t>Australian Government</w:t>
      </w:r>
      <w:r w:rsidRPr="006967B2">
        <w:t xml:space="preserve"> recognises that some organisations may seek to form consortia in order to apply for a </w:t>
      </w:r>
      <w:r>
        <w:t>grant</w:t>
      </w:r>
      <w:r w:rsidRPr="006967B2">
        <w:t xml:space="preserve"> under the </w:t>
      </w:r>
      <w:r>
        <w:t>p</w:t>
      </w:r>
      <w:r w:rsidRPr="006967B2">
        <w:t xml:space="preserve">rogram. </w:t>
      </w:r>
      <w:r w:rsidRPr="00E76D2D">
        <w:t xml:space="preserve">The lead applicant must be an eligible </w:t>
      </w:r>
      <w:r>
        <w:t>organisation listed at Section 4.1.</w:t>
      </w:r>
      <w:r w:rsidRPr="00E76D2D">
        <w:t xml:space="preserve"> </w:t>
      </w:r>
    </w:p>
  </w:footnote>
  <w:footnote w:id="5">
    <w:p w14:paraId="72F32EBC" w14:textId="77777777" w:rsidR="00C03308" w:rsidRDefault="00C03308" w:rsidP="007568B1">
      <w:pPr>
        <w:pStyle w:val="FootnoteText"/>
      </w:pPr>
      <w:r>
        <w:rPr>
          <w:rStyle w:val="FootnoteReference"/>
        </w:rPr>
        <w:footnoteRef/>
      </w:r>
      <w:r>
        <w:t xml:space="preserve"> Alterations and addenda include but are not limited to: corrections to currently published documents, changes to close times for applications, Questions and Answers (Q&amp;A) documents </w:t>
      </w:r>
    </w:p>
  </w:footnote>
  <w:footnote w:id="6">
    <w:p w14:paraId="7654D2B0" w14:textId="77777777" w:rsidR="00C03308" w:rsidRDefault="00C03308" w:rsidP="007568B1">
      <w:pPr>
        <w:pStyle w:val="FootnoteText"/>
      </w:pPr>
      <w:r>
        <w:rPr>
          <w:rStyle w:val="FootnoteReference"/>
        </w:rPr>
        <w:t>[1]</w:t>
      </w:r>
      <w:r>
        <w:t xml:space="preserve"> </w:t>
      </w:r>
      <w:r>
        <w:rPr>
          <w:szCs w:val="16"/>
        </w:rPr>
        <w:t>This may be the Hub Delegate or nominated staff member of the client agency at the EL2 level or above.</w:t>
      </w:r>
    </w:p>
  </w:footnote>
  <w:footnote w:id="7">
    <w:p w14:paraId="2F239576" w14:textId="77777777" w:rsidR="00C03308" w:rsidRDefault="00C03308" w:rsidP="007568B1">
      <w:pPr>
        <w:pStyle w:val="FootnoteText"/>
        <w:tabs>
          <w:tab w:val="clear" w:pos="4590"/>
          <w:tab w:val="clear" w:pos="9450"/>
          <w:tab w:val="left" w:pos="5593"/>
        </w:tabs>
      </w:pPr>
      <w:r>
        <w:rPr>
          <w:rStyle w:val="FootnoteReference"/>
        </w:rPr>
        <w:footnoteRef/>
      </w:r>
      <w:r>
        <w:t xml:space="preserve"> See glossary for an explanation of ‘value with money’.</w:t>
      </w:r>
      <w:r>
        <w:tab/>
      </w:r>
    </w:p>
  </w:footnote>
  <w:footnote w:id="8">
    <w:p w14:paraId="03299C86" w14:textId="77777777" w:rsidR="00C03308" w:rsidRDefault="00C03308" w:rsidP="007568B1">
      <w:pPr>
        <w:pStyle w:val="FootnoteText"/>
      </w:pPr>
    </w:p>
  </w:footnote>
  <w:footnote w:id="9">
    <w:p w14:paraId="6E666D2F" w14:textId="77777777" w:rsidR="00C03308" w:rsidRPr="007133C2" w:rsidRDefault="00C03308" w:rsidP="007568B1">
      <w:pPr>
        <w:pStyle w:val="FootnoteText"/>
      </w:pPr>
      <w:r w:rsidRPr="007133C2">
        <w:rPr>
          <w:rStyle w:val="FootnoteReference"/>
        </w:rPr>
        <w:footnoteRef/>
      </w:r>
      <w:r w:rsidRPr="007133C2">
        <w:t xml:space="preserve"> Relevant money is defined in the PGPA Act. See </w:t>
      </w:r>
      <w:r>
        <w:t>S</w:t>
      </w:r>
      <w:r w:rsidRPr="007133C2">
        <w:t>ection 8, Dictionary</w:t>
      </w:r>
      <w:r>
        <w:t>.</w:t>
      </w:r>
    </w:p>
  </w:footnote>
  <w:footnote w:id="10">
    <w:p w14:paraId="6A77A03B" w14:textId="77777777" w:rsidR="00C03308" w:rsidRPr="007133C2" w:rsidRDefault="00C03308" w:rsidP="007568B1">
      <w:pPr>
        <w:pStyle w:val="FootnoteText"/>
      </w:pPr>
      <w:r w:rsidRPr="007133C2">
        <w:rPr>
          <w:rStyle w:val="FootnoteReference"/>
        </w:rPr>
        <w:footnoteRef/>
      </w:r>
      <w:r w:rsidRPr="007133C2">
        <w:t xml:space="preserve"> Other CRF money i</w:t>
      </w:r>
      <w:r>
        <w:t>s defined in the PGPA Act. See S</w:t>
      </w:r>
      <w:r w:rsidRPr="007133C2">
        <w:t>ection 105, Rules in relation to other CRF money.</w:t>
      </w:r>
    </w:p>
  </w:footnote>
  <w:footnote w:id="11">
    <w:p w14:paraId="0A4AE774" w14:textId="77777777" w:rsidR="00C03308" w:rsidRDefault="00C03308" w:rsidP="007568B1">
      <w:pPr>
        <w:pStyle w:val="FootnoteText"/>
      </w:pPr>
      <w:r>
        <w:rPr>
          <w:rStyle w:val="FootnoteReference"/>
          <w:rFonts w:eastAsia="MS Mincho"/>
        </w:rPr>
        <w:footnoteRef/>
      </w:r>
      <w:r>
        <w:t xml:space="preserve"> Refer to </w:t>
      </w:r>
      <w:hyperlink r:id="rId4" w:anchor="Glossary" w:history="1">
        <w:r>
          <w:rPr>
            <w:rStyle w:val="Hyperlink"/>
            <w:i/>
          </w:rPr>
          <w:t>Glossary</w:t>
        </w:r>
      </w:hyperlink>
      <w:r>
        <w:rPr>
          <w:i/>
        </w:rPr>
        <w:t xml:space="preserve"> </w:t>
      </w:r>
      <w:r>
        <w:t>for definition.</w:t>
      </w:r>
    </w:p>
  </w:footnote>
  <w:footnote w:id="12">
    <w:p w14:paraId="769E15D1" w14:textId="77777777" w:rsidR="00C03308" w:rsidRDefault="00C03308" w:rsidP="007568B1">
      <w:pPr>
        <w:pStyle w:val="FootnoteText"/>
      </w:pPr>
      <w:r>
        <w:rPr>
          <w:rStyle w:val="FootnoteReference"/>
          <w:rFonts w:eastAsia="MS Mincho"/>
        </w:rPr>
        <w:footnoteRef/>
      </w:r>
      <w:r>
        <w:t xml:space="preserve"> Refer to </w:t>
      </w:r>
      <w:hyperlink r:id="rId5" w:anchor="Glossary" w:history="1">
        <w:r>
          <w:rPr>
            <w:rStyle w:val="Hyperlink"/>
            <w:i/>
          </w:rPr>
          <w:t>Glossary</w:t>
        </w:r>
      </w:hyperlink>
      <w:r>
        <w:rPr>
          <w:i/>
        </w:rPr>
        <w:t xml:space="preserve"> </w:t>
      </w:r>
      <w:r>
        <w:t>for definition.</w:t>
      </w:r>
    </w:p>
  </w:footnote>
  <w:footnote w:id="13">
    <w:p w14:paraId="29B7FA79" w14:textId="77777777" w:rsidR="00C03308" w:rsidRDefault="00C03308" w:rsidP="007568B1">
      <w:pPr>
        <w:pStyle w:val="FootnoteText"/>
      </w:pPr>
      <w:r>
        <w:rPr>
          <w:rStyle w:val="FootnoteReference"/>
          <w:rFonts w:eastAsia="MS Mincho"/>
        </w:rPr>
        <w:footnoteRef/>
      </w:r>
      <w:r>
        <w:t xml:space="preserve"> Refer to </w:t>
      </w:r>
      <w:hyperlink r:id="rId6" w:anchor="Glossary" w:history="1">
        <w:r>
          <w:rPr>
            <w:rStyle w:val="Hyperlink"/>
            <w:i/>
          </w:rPr>
          <w:t>Glossary</w:t>
        </w:r>
      </w:hyperlink>
      <w:r>
        <w:rPr>
          <w:i/>
        </w:rPr>
        <w:t xml:space="preserve"> </w:t>
      </w:r>
      <w:r>
        <w:t>for definition.</w:t>
      </w:r>
    </w:p>
  </w:footnote>
  <w:footnote w:id="14">
    <w:p w14:paraId="1210BE10" w14:textId="77777777" w:rsidR="00C03308" w:rsidRDefault="00C03308" w:rsidP="007568B1">
      <w:pPr>
        <w:spacing w:before="0" w:after="0" w:line="240" w:lineRule="auto"/>
        <w:rPr>
          <w:sz w:val="16"/>
          <w:szCs w:val="16"/>
        </w:rPr>
      </w:pPr>
      <w:r>
        <w:rPr>
          <w:rStyle w:val="FootnoteReference"/>
          <w:rFonts w:eastAsia="MS Mincho" w:cs="Arial"/>
          <w:sz w:val="16"/>
          <w:szCs w:val="16"/>
        </w:rPr>
        <w:footnoteRef/>
      </w:r>
      <w:r>
        <w:rPr>
          <w:sz w:val="16"/>
          <w:szCs w:val="16"/>
        </w:rPr>
        <w:t xml:space="preserve"> Initial and intermediate outcomes are targeted over five years. Longer-term outcomes are often beyond the span of control of the SETS program.</w:t>
      </w:r>
    </w:p>
    <w:p w14:paraId="275837F1" w14:textId="77777777" w:rsidR="00C03308" w:rsidRDefault="00C03308" w:rsidP="007568B1">
      <w:pPr>
        <w:pStyle w:val="FootnoteText"/>
        <w:rPr>
          <w:rFonts w:cs="Arial"/>
        </w:rPr>
      </w:pPr>
    </w:p>
  </w:footnote>
  <w:footnote w:id="15">
    <w:p w14:paraId="7E66E101" w14:textId="77777777" w:rsidR="00C03308" w:rsidRDefault="00C03308" w:rsidP="007568B1">
      <w:pPr>
        <w:pStyle w:val="FootnoteText"/>
        <w:rPr>
          <w:rFonts w:cstheme="minorBidi"/>
        </w:rPr>
      </w:pPr>
      <w:r>
        <w:rPr>
          <w:rStyle w:val="FootnoteReference"/>
          <w:rFonts w:eastAsia="MS Mincho"/>
        </w:rPr>
        <w:footnoteRef/>
      </w:r>
      <w:r>
        <w:t xml:space="preserve"> Refer to </w:t>
      </w:r>
      <w:r>
        <w:rPr>
          <w:i/>
        </w:rPr>
        <w:t>Glossary</w:t>
      </w:r>
      <w:r>
        <w:t xml:space="preserve"> for definition</w:t>
      </w:r>
    </w:p>
  </w:footnote>
  <w:footnote w:id="16">
    <w:p w14:paraId="4BD2D601" w14:textId="77777777" w:rsidR="00C03308" w:rsidRDefault="00C03308" w:rsidP="007568B1">
      <w:pPr>
        <w:pStyle w:val="FootnoteText"/>
      </w:pPr>
      <w:r>
        <w:rPr>
          <w:rStyle w:val="FootnoteReference"/>
          <w:rFonts w:eastAsia="MS Mincho"/>
        </w:rPr>
        <w:footnoteRef/>
      </w:r>
      <w:r>
        <w:t xml:space="preserve"> Refer to </w:t>
      </w:r>
      <w:r>
        <w:rPr>
          <w:i/>
        </w:rPr>
        <w:t>Glossary</w:t>
      </w:r>
      <w:r>
        <w:t xml:space="preserve"> for 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51B69" w14:textId="77777777" w:rsidR="00C03308" w:rsidRDefault="00C03308" w:rsidP="00CA3DD9">
    <w:pPr>
      <w:pStyle w:val="Header"/>
      <w:tabs>
        <w:tab w:val="left" w:pos="691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2CECF" w14:textId="00242489" w:rsidR="00C03308" w:rsidRDefault="00C03308">
    <w:pPr>
      <w:pStyle w:val="Header"/>
    </w:pPr>
    <w:r>
      <w:rPr>
        <w:noProof/>
        <w:lang w:eastAsia="en-AU"/>
      </w:rPr>
      <w:drawing>
        <wp:inline distT="0" distB="0" distL="0" distR="0" wp14:anchorId="059A40A3" wp14:editId="6B2928D2">
          <wp:extent cx="5580380" cy="765175"/>
          <wp:effectExtent l="0" t="0" r="1270" b="0"/>
          <wp:docPr id="9" name="Picture 9" descr="Department of Social Services and Community Grants Hub website"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S combined.jpg"/>
                  <pic:cNvPicPr/>
                </pic:nvPicPr>
                <pic:blipFill>
                  <a:blip r:embed="rId1">
                    <a:extLst>
                      <a:ext uri="{28A0092B-C50C-407E-A947-70E740481C1C}">
                        <a14:useLocalDpi xmlns:a14="http://schemas.microsoft.com/office/drawing/2010/main" val="0"/>
                      </a:ext>
                    </a:extLst>
                  </a:blip>
                  <a:stretch>
                    <a:fillRect/>
                  </a:stretch>
                </pic:blipFill>
                <pic:spPr>
                  <a:xfrm>
                    <a:off x="0" y="0"/>
                    <a:ext cx="5580380" cy="7651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AECA" w14:textId="304A9A1D" w:rsidR="00C03308" w:rsidRDefault="00C03308" w:rsidP="00CA3DD9">
    <w:pPr>
      <w:pStyle w:val="Header"/>
      <w:tabs>
        <w:tab w:val="left" w:pos="6912"/>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19F1" w14:textId="1C244ED4" w:rsidR="00C03308" w:rsidRDefault="00C03308">
    <w:pPr>
      <w:pStyle w:val="Header"/>
    </w:pPr>
    <w:r w:rsidRPr="0070001C">
      <w:rPr>
        <w:noProof/>
        <w:lang w:eastAsia="en-AU"/>
      </w:rPr>
      <w:drawing>
        <wp:anchor distT="0" distB="0" distL="114300" distR="114300" simplePos="0" relativeHeight="251671552" behindDoc="0" locked="0" layoutInCell="1" allowOverlap="1" wp14:anchorId="4E2E479D" wp14:editId="13F8E8B3">
          <wp:simplePos x="0" y="0"/>
          <wp:positionH relativeFrom="page">
            <wp:posOffset>4625340</wp:posOffset>
          </wp:positionH>
          <wp:positionV relativeFrom="paragraph">
            <wp:posOffset>88900</wp:posOffset>
          </wp:positionV>
          <wp:extent cx="3057576" cy="526390"/>
          <wp:effectExtent l="0" t="0" r="0" b="7620"/>
          <wp:wrapNone/>
          <wp:docPr id="3" name="Picture 3" descr="Department of Social Services and Community Grants Hub website"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H_orange_+_pattern_large.png"/>
                  <pic:cNvPicPr/>
                </pic:nvPicPr>
                <pic:blipFill rotWithShape="1">
                  <a:blip r:embed="rId1">
                    <a:extLst>
                      <a:ext uri="{28A0092B-C50C-407E-A947-70E740481C1C}">
                        <a14:useLocalDpi xmlns:a14="http://schemas.microsoft.com/office/drawing/2010/main" val="0"/>
                      </a:ext>
                    </a:extLst>
                  </a:blip>
                  <a:srcRect l="14373" r="23050"/>
                  <a:stretch/>
                </pic:blipFill>
                <pic:spPr bwMode="auto">
                  <a:xfrm>
                    <a:off x="0" y="0"/>
                    <a:ext cx="3057576" cy="52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0001C">
      <w:rPr>
        <w:noProof/>
        <w:lang w:eastAsia="en-AU"/>
      </w:rPr>
      <w:drawing>
        <wp:anchor distT="0" distB="0" distL="114300" distR="114300" simplePos="0" relativeHeight="251672576" behindDoc="0" locked="0" layoutInCell="1" allowOverlap="1" wp14:anchorId="63CA9D85" wp14:editId="4DA7F237">
          <wp:simplePos x="0" y="0"/>
          <wp:positionH relativeFrom="column">
            <wp:posOffset>1988820</wp:posOffset>
          </wp:positionH>
          <wp:positionV relativeFrom="paragraph">
            <wp:posOffset>36830</wp:posOffset>
          </wp:positionV>
          <wp:extent cx="1447800" cy="624840"/>
          <wp:effectExtent l="0" t="0" r="0" b="3810"/>
          <wp:wrapNone/>
          <wp:docPr id="4" name="Picture 4" descr="Department of Social Services and Community Grants Hub website"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H_Wordmark+Tag_black.png"/>
                  <pic:cNvPicPr/>
                </pic:nvPicPr>
                <pic:blipFill>
                  <a:blip r:embed="rId2">
                    <a:extLst>
                      <a:ext uri="{28A0092B-C50C-407E-A947-70E740481C1C}">
                        <a14:useLocalDpi xmlns:a14="http://schemas.microsoft.com/office/drawing/2010/main" val="0"/>
                      </a:ext>
                    </a:extLst>
                  </a:blip>
                  <a:stretch>
                    <a:fillRect/>
                  </a:stretch>
                </pic:blipFill>
                <pic:spPr>
                  <a:xfrm>
                    <a:off x="0" y="0"/>
                    <a:ext cx="1447800" cy="624840"/>
                  </a:xfrm>
                  <a:prstGeom prst="rect">
                    <a:avLst/>
                  </a:prstGeom>
                </pic:spPr>
              </pic:pic>
            </a:graphicData>
          </a:graphic>
        </wp:anchor>
      </w:drawing>
    </w:r>
    <w:r w:rsidRPr="0070001C">
      <w:rPr>
        <w:noProof/>
        <w:lang w:eastAsia="en-AU"/>
      </w:rPr>
      <mc:AlternateContent>
        <mc:Choice Requires="wps">
          <w:drawing>
            <wp:anchor distT="45720" distB="45720" distL="114300" distR="114300" simplePos="0" relativeHeight="251673600" behindDoc="0" locked="0" layoutInCell="1" allowOverlap="1" wp14:anchorId="67FA0E12" wp14:editId="7EFAB28F">
              <wp:simplePos x="0" y="0"/>
              <wp:positionH relativeFrom="column">
                <wp:posOffset>0</wp:posOffset>
              </wp:positionH>
              <wp:positionV relativeFrom="paragraph">
                <wp:posOffset>45085</wp:posOffset>
              </wp:positionV>
              <wp:extent cx="1675130" cy="738505"/>
              <wp:effectExtent l="0" t="0" r="2032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738505"/>
                      </a:xfrm>
                      <a:prstGeom prst="rect">
                        <a:avLst/>
                      </a:prstGeom>
                      <a:solidFill>
                        <a:srgbClr val="FFFFFF"/>
                      </a:solidFill>
                      <a:ln w="9525">
                        <a:solidFill>
                          <a:srgbClr val="000000"/>
                        </a:solidFill>
                        <a:miter lim="800000"/>
                        <a:headEnd/>
                        <a:tailEnd/>
                      </a:ln>
                    </wps:spPr>
                    <wps:txbx>
                      <w:txbxContent>
                        <w:p w14:paraId="5603C411" w14:textId="77777777" w:rsidR="00C03308" w:rsidRPr="00BF4BDC" w:rsidRDefault="00C03308" w:rsidP="00BF4BDC">
                          <w:pPr>
                            <w:spacing w:before="0" w:after="0" w:line="240" w:lineRule="auto"/>
                            <w:jc w:val="center"/>
                            <w:rPr>
                              <w:b/>
                              <w:noProof/>
                              <w:sz w:val="16"/>
                              <w:lang w:eastAsia="en-AU"/>
                            </w:rPr>
                          </w:pPr>
                        </w:p>
                        <w:p w14:paraId="2AD32A7D" w14:textId="782C4945" w:rsidR="00C03308" w:rsidRDefault="00C03308" w:rsidP="00CA3DD9">
                          <w:pPr>
                            <w:jc w:val="center"/>
                          </w:pPr>
                          <w:r>
                            <w:rPr>
                              <w:b/>
                              <w:noProof/>
                              <w:lang w:eastAsia="en-AU"/>
                            </w:rPr>
                            <w:drawing>
                              <wp:inline distT="0" distB="0" distL="0" distR="0" wp14:anchorId="7690E859" wp14:editId="591E47EB">
                                <wp:extent cx="1483360" cy="302166"/>
                                <wp:effectExtent l="0" t="0" r="2540" b="3175"/>
                                <wp:docPr id="5" name="Picture 5"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3360" cy="3021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A0E12" id="_x0000_t202" coordsize="21600,21600" o:spt="202" path="m,l,21600r21600,l21600,xe">
              <v:stroke joinstyle="miter"/>
              <v:path gradientshapeok="t" o:connecttype="rect"/>
            </v:shapetype>
            <v:shape id="Text Box 2" o:spid="_x0000_s1026" type="#_x0000_t202" style="position:absolute;margin-left:0;margin-top:3.55pt;width:131.9pt;height:58.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">
              <v:textbox>
                <w:txbxContent>
                  <w:p w14:paraId="5603C411" w14:textId="77777777" w:rsidR="007877B3" w:rsidRPr="00BF4BDC" w:rsidRDefault="007877B3" w:rsidP="00BF4BDC">
                    <w:pPr>
                      <w:spacing w:before="0" w:after="0" w:line="240" w:lineRule="auto"/>
                      <w:jc w:val="center"/>
                      <w:rPr>
                        <w:b/>
                        <w:noProof/>
                        <w:sz w:val="16"/>
                        <w:lang w:eastAsia="en-AU"/>
                      </w:rPr>
                    </w:pPr>
                  </w:p>
                  <w:p w14:paraId="2AD32A7D" w14:textId="782C4945" w:rsidR="007877B3" w:rsidRDefault="007877B3" w:rsidP="00CA3DD9">
                    <w:pPr>
                      <w:jc w:val="center"/>
                    </w:pPr>
                    <w:r>
                      <w:rPr>
                        <w:b/>
                        <w:noProof/>
                        <w:lang w:eastAsia="en-AU"/>
                      </w:rPr>
                      <w:drawing>
                        <wp:inline distT="0" distB="0" distL="0" distR="0" wp14:anchorId="7690E859" wp14:editId="591E47EB">
                          <wp:extent cx="1483360" cy="302166"/>
                          <wp:effectExtent l="0" t="0" r="2540" b="3175"/>
                          <wp:docPr id="5" name="Picture 5"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3360" cy="302166"/>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01B38AA"/>
    <w:multiLevelType w:val="hybridMultilevel"/>
    <w:tmpl w:val="13E69B9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E79717D"/>
    <w:multiLevelType w:val="hybridMultilevel"/>
    <w:tmpl w:val="2B30566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7" w15:restartNumberingAfterBreak="0">
    <w:nsid w:val="13AA0EEC"/>
    <w:multiLevelType w:val="hybridMultilevel"/>
    <w:tmpl w:val="41CA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C6A27"/>
    <w:multiLevelType w:val="multilevel"/>
    <w:tmpl w:val="3496B734"/>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843"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BD12E7"/>
    <w:multiLevelType w:val="multilevel"/>
    <w:tmpl w:val="2BD2A5E2"/>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F400FD8"/>
    <w:multiLevelType w:val="hybridMultilevel"/>
    <w:tmpl w:val="E4E4AE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B9B159F"/>
    <w:multiLevelType w:val="multilevel"/>
    <w:tmpl w:val="4C083C04"/>
    <w:styleLink w:val="HeadingsList1"/>
    <w:lvl w:ilvl="0">
      <w:start w:val="1"/>
      <w:numFmt w:val="decimal"/>
      <w:lvlText w:val="%1."/>
      <w:lvlJc w:val="left"/>
      <w:pPr>
        <w:ind w:left="567" w:hanging="567"/>
      </w:pPr>
    </w:lvl>
    <w:lvl w:ilvl="1">
      <w:start w:val="1"/>
      <w:numFmt w:val="decimal"/>
      <w:lvlText w:val="%1.%2"/>
      <w:lvlJc w:val="left"/>
      <w:pPr>
        <w:ind w:left="709" w:hanging="567"/>
      </w:pPr>
    </w:lvl>
    <w:lvl w:ilvl="2">
      <w:start w:val="1"/>
      <w:numFmt w:val="decimal"/>
      <w:lvlText w:val="%1.%2.%3"/>
      <w:lvlJc w:val="left"/>
      <w:pPr>
        <w:ind w:left="851" w:hanging="851"/>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C847FDE"/>
    <w:multiLevelType w:val="hybridMultilevel"/>
    <w:tmpl w:val="A83EE9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41C525D"/>
    <w:multiLevelType w:val="hybridMultilevel"/>
    <w:tmpl w:val="1D046F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6" w15:restartNumberingAfterBreak="0">
    <w:nsid w:val="39FB012B"/>
    <w:multiLevelType w:val="hybridMultilevel"/>
    <w:tmpl w:val="10E68E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EF9298D"/>
    <w:multiLevelType w:val="hybridMultilevel"/>
    <w:tmpl w:val="1856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48337E"/>
    <w:multiLevelType w:val="multilevel"/>
    <w:tmpl w:val="34FCFA10"/>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o"/>
      <w:lvlJc w:val="left"/>
      <w:pPr>
        <w:ind w:left="852" w:hanging="284"/>
      </w:pPr>
      <w:rPr>
        <w:rFonts w:ascii="Courier New" w:hAnsi="Courier New" w:cs="Courier New"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45714225"/>
    <w:multiLevelType w:val="hybridMultilevel"/>
    <w:tmpl w:val="6EF4ED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9D536A"/>
    <w:multiLevelType w:val="hybridMultilevel"/>
    <w:tmpl w:val="66EE5624"/>
    <w:lvl w:ilvl="0" w:tplc="076C0966">
      <w:start w:val="1"/>
      <w:numFmt w:val="bullet"/>
      <w:lvlText w:val=""/>
      <w:lvlJc w:val="left"/>
      <w:pPr>
        <w:ind w:left="360" w:hanging="360"/>
      </w:pPr>
      <w:rPr>
        <w:rFonts w:ascii="Wingdings" w:hAnsi="Wingdings" w:hint="default"/>
        <w:color w:val="7030A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817F55"/>
    <w:multiLevelType w:val="hybridMultilevel"/>
    <w:tmpl w:val="67CEB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5AAD622F"/>
    <w:multiLevelType w:val="hybridMultilevel"/>
    <w:tmpl w:val="CD8E5654"/>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5BB0494C"/>
    <w:multiLevelType w:val="hybridMultilevel"/>
    <w:tmpl w:val="59D2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57BB8"/>
    <w:multiLevelType w:val="multilevel"/>
    <w:tmpl w:val="34028938"/>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671D030B"/>
    <w:multiLevelType w:val="hybridMultilevel"/>
    <w:tmpl w:val="B1FC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B34A2"/>
    <w:multiLevelType w:val="hybridMultilevel"/>
    <w:tmpl w:val="25EE8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D9C5351"/>
    <w:multiLevelType w:val="hybridMultilevel"/>
    <w:tmpl w:val="25D47CFC"/>
    <w:lvl w:ilvl="0" w:tplc="0C090003">
      <w:start w:val="1"/>
      <w:numFmt w:val="bullet"/>
      <w:lvlText w:val="o"/>
      <w:lvlJc w:val="left"/>
      <w:pPr>
        <w:ind w:left="1236" w:hanging="360"/>
      </w:pPr>
      <w:rPr>
        <w:rFonts w:ascii="Courier New" w:hAnsi="Courier New" w:cs="Courier New" w:hint="default"/>
      </w:rPr>
    </w:lvl>
    <w:lvl w:ilvl="1" w:tplc="0C090003">
      <w:start w:val="1"/>
      <w:numFmt w:val="bullet"/>
      <w:lvlText w:val="o"/>
      <w:lvlJc w:val="left"/>
      <w:pPr>
        <w:ind w:left="1956" w:hanging="360"/>
      </w:pPr>
      <w:rPr>
        <w:rFonts w:ascii="Courier New" w:hAnsi="Courier New" w:cs="Courier New" w:hint="default"/>
      </w:rPr>
    </w:lvl>
    <w:lvl w:ilvl="2" w:tplc="0C090005">
      <w:start w:val="1"/>
      <w:numFmt w:val="bullet"/>
      <w:lvlText w:val=""/>
      <w:lvlJc w:val="left"/>
      <w:pPr>
        <w:ind w:left="2676" w:hanging="360"/>
      </w:pPr>
      <w:rPr>
        <w:rFonts w:ascii="Wingdings" w:hAnsi="Wingdings" w:hint="default"/>
      </w:rPr>
    </w:lvl>
    <w:lvl w:ilvl="3" w:tplc="0C090001">
      <w:start w:val="1"/>
      <w:numFmt w:val="bullet"/>
      <w:lvlText w:val=""/>
      <w:lvlJc w:val="left"/>
      <w:pPr>
        <w:ind w:left="3396" w:hanging="360"/>
      </w:pPr>
      <w:rPr>
        <w:rFonts w:ascii="Symbol" w:hAnsi="Symbol" w:hint="default"/>
      </w:rPr>
    </w:lvl>
    <w:lvl w:ilvl="4" w:tplc="0C090003">
      <w:start w:val="1"/>
      <w:numFmt w:val="bullet"/>
      <w:lvlText w:val="o"/>
      <w:lvlJc w:val="left"/>
      <w:pPr>
        <w:ind w:left="4116" w:hanging="360"/>
      </w:pPr>
      <w:rPr>
        <w:rFonts w:ascii="Courier New" w:hAnsi="Courier New" w:cs="Courier New" w:hint="default"/>
      </w:rPr>
    </w:lvl>
    <w:lvl w:ilvl="5" w:tplc="0C090005">
      <w:start w:val="1"/>
      <w:numFmt w:val="bullet"/>
      <w:lvlText w:val=""/>
      <w:lvlJc w:val="left"/>
      <w:pPr>
        <w:ind w:left="4836" w:hanging="360"/>
      </w:pPr>
      <w:rPr>
        <w:rFonts w:ascii="Wingdings" w:hAnsi="Wingdings" w:hint="default"/>
      </w:rPr>
    </w:lvl>
    <w:lvl w:ilvl="6" w:tplc="0C090001">
      <w:start w:val="1"/>
      <w:numFmt w:val="bullet"/>
      <w:lvlText w:val=""/>
      <w:lvlJc w:val="left"/>
      <w:pPr>
        <w:ind w:left="5556" w:hanging="360"/>
      </w:pPr>
      <w:rPr>
        <w:rFonts w:ascii="Symbol" w:hAnsi="Symbol" w:hint="default"/>
      </w:rPr>
    </w:lvl>
    <w:lvl w:ilvl="7" w:tplc="0C090003">
      <w:start w:val="1"/>
      <w:numFmt w:val="bullet"/>
      <w:lvlText w:val="o"/>
      <w:lvlJc w:val="left"/>
      <w:pPr>
        <w:ind w:left="6276" w:hanging="360"/>
      </w:pPr>
      <w:rPr>
        <w:rFonts w:ascii="Courier New" w:hAnsi="Courier New" w:cs="Courier New" w:hint="default"/>
      </w:rPr>
    </w:lvl>
    <w:lvl w:ilvl="8" w:tplc="0C090005">
      <w:start w:val="1"/>
      <w:numFmt w:val="bullet"/>
      <w:lvlText w:val=""/>
      <w:lvlJc w:val="left"/>
      <w:pPr>
        <w:ind w:left="6996" w:hanging="360"/>
      </w:pPr>
      <w:rPr>
        <w:rFonts w:ascii="Wingdings" w:hAnsi="Wingdings" w:hint="default"/>
      </w:rPr>
    </w:lvl>
  </w:abstractNum>
  <w:abstractNum w:abstractNumId="32" w15:restartNumberingAfterBreak="0">
    <w:nsid w:val="71033DAB"/>
    <w:multiLevelType w:val="hybridMultilevel"/>
    <w:tmpl w:val="0AB40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8007BEF"/>
    <w:multiLevelType w:val="multilevel"/>
    <w:tmpl w:val="9754E4CA"/>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8756F79"/>
    <w:multiLevelType w:val="hybridMultilevel"/>
    <w:tmpl w:val="683E7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026650"/>
    <w:multiLevelType w:val="multilevel"/>
    <w:tmpl w:val="B1E89456"/>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7D591015"/>
    <w:multiLevelType w:val="hybridMultilevel"/>
    <w:tmpl w:val="3EF81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15"/>
  </w:num>
  <w:num w:numId="4">
    <w:abstractNumId w:val="20"/>
  </w:num>
  <w:num w:numId="5">
    <w:abstractNumId w:val="37"/>
  </w:num>
  <w:num w:numId="6">
    <w:abstractNumId w:val="34"/>
  </w:num>
  <w:num w:numId="7">
    <w:abstractNumId w:val="9"/>
  </w:num>
  <w:num w:numId="8">
    <w:abstractNumId w:val="8"/>
  </w:num>
  <w:num w:numId="9">
    <w:abstractNumId w:val="4"/>
  </w:num>
  <w:num w:numId="10">
    <w:abstractNumId w:val="8"/>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3"/>
  </w:num>
  <w:num w:numId="12">
    <w:abstractNumId w:val="33"/>
  </w:num>
  <w:num w:numId="13">
    <w:abstractNumId w:val="24"/>
  </w:num>
  <w:num w:numId="14">
    <w:abstractNumId w:val="5"/>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3"/>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 w:ilvl="0">
        <w:start w:val="1"/>
        <w:numFmt w:val="decimal"/>
        <w:lvlText w:val="%1."/>
        <w:lvlJc w:val="left"/>
        <w:pPr>
          <w:ind w:left="567" w:hanging="567"/>
        </w:pPr>
      </w:lvl>
    </w:lvlOverride>
    <w:lvlOverride w:ilvl="1">
      <w:lvl w:ilvl="1">
        <w:start w:val="1"/>
        <w:numFmt w:val="decimal"/>
        <w:lvlText w:val="%1.%2"/>
        <w:lvlJc w:val="left"/>
        <w:pPr>
          <w:ind w:left="567" w:hanging="567"/>
        </w:pPr>
      </w:lvl>
    </w:lvlOverride>
    <w:lvlOverride w:ilvl="2">
      <w:lvl w:ilvl="2">
        <w:start w:val="1"/>
        <w:numFmt w:val="decimal"/>
        <w:lvlText w:val="%1.%2.%3"/>
        <w:lvlJc w:val="left"/>
        <w:pPr>
          <w:ind w:left="851" w:hanging="851"/>
        </w:pPr>
      </w:lvl>
    </w:lvlOverride>
    <w:lvlOverride w:ilvl="3">
      <w:lvl w:ilvl="3">
        <w:start w:val="1"/>
        <w:numFmt w:val="decimal"/>
        <w:lvlText w:val="(%4)"/>
        <w:lvlJc w:val="left"/>
        <w:pPr>
          <w:ind w:left="2160" w:hanging="360"/>
        </w:pPr>
      </w:lvl>
    </w:lvlOverride>
    <w:lvlOverride w:ilvl="4">
      <w:lvl w:ilvl="4">
        <w:start w:val="1"/>
        <w:numFmt w:val="lowerLetter"/>
        <w:lvlText w:val="(%5)"/>
        <w:lvlJc w:val="left"/>
        <w:pPr>
          <w:ind w:left="2520" w:hanging="360"/>
        </w:pPr>
      </w:lvl>
    </w:lvlOverride>
    <w:lvlOverride w:ilvl="5">
      <w:lvl w:ilvl="5">
        <w:start w:val="1"/>
        <w:numFmt w:val="lowerRoman"/>
        <w:lvlText w:val="(%6)"/>
        <w:lvlJc w:val="left"/>
        <w:pPr>
          <w:ind w:left="2880" w:hanging="360"/>
        </w:pPr>
      </w:lvl>
    </w:lvlOverride>
    <w:lvlOverride w:ilvl="6">
      <w:lvl w:ilvl="6">
        <w:start w:val="1"/>
        <w:numFmt w:val="decimal"/>
        <w:lvlText w:val="%7."/>
        <w:lvlJc w:val="left"/>
        <w:pPr>
          <w:ind w:left="3240" w:hanging="360"/>
        </w:pPr>
      </w:lvl>
    </w:lvlOverride>
    <w:lvlOverride w:ilvl="7">
      <w:lvl w:ilvl="7">
        <w:start w:val="1"/>
        <w:numFmt w:val="lowerLetter"/>
        <w:lvlText w:val="%8."/>
        <w:lvlJc w:val="left"/>
        <w:pPr>
          <w:ind w:left="3600" w:hanging="360"/>
        </w:pPr>
      </w:lvl>
    </w:lvlOverride>
    <w:lvlOverride w:ilvl="8">
      <w:lvl w:ilvl="8">
        <w:start w:val="1"/>
        <w:numFmt w:val="lowerRoman"/>
        <w:lvlText w:val="%9."/>
        <w:lvlJc w:val="left"/>
        <w:pPr>
          <w:ind w:left="3960" w:hanging="360"/>
        </w:pPr>
      </w:lvl>
    </w:lvlOverride>
  </w:num>
  <w:num w:numId="20">
    <w:abstractNumId w:val="11"/>
  </w:num>
  <w:num w:numId="21">
    <w:abstractNumId w:val="33"/>
  </w:num>
  <w:num w:numId="22">
    <w:abstractNumId w:val="14"/>
  </w:num>
  <w:num w:numId="23">
    <w:abstractNumId w:val="10"/>
  </w:num>
  <w:num w:numId="24">
    <w:abstractNumId w:val="31"/>
  </w:num>
  <w:num w:numId="25">
    <w:abstractNumId w:val="12"/>
  </w:num>
  <w:num w:numId="26">
    <w:abstractNumId w:val="39"/>
  </w:num>
  <w:num w:numId="27">
    <w:abstractNumId w:val="6"/>
  </w:num>
  <w:num w:numId="28">
    <w:abstractNumId w:val="19"/>
  </w:num>
  <w:num w:numId="29">
    <w:abstractNumId w:val="16"/>
  </w:num>
  <w:num w:numId="30">
    <w:abstractNumId w:val="17"/>
  </w:num>
  <w:num w:numId="31">
    <w:abstractNumId w:val="22"/>
  </w:num>
  <w:num w:numId="32">
    <w:abstractNumId w:val="32"/>
  </w:num>
  <w:num w:numId="33">
    <w:abstractNumId w:val="7"/>
  </w:num>
  <w:num w:numId="34">
    <w:abstractNumId w:val="36"/>
  </w:num>
  <w:num w:numId="35">
    <w:abstractNumId w:val="26"/>
  </w:num>
  <w:num w:numId="36">
    <w:abstractNumId w:val="28"/>
  </w:num>
  <w:num w:numId="37">
    <w:abstractNumId w:val="29"/>
  </w:num>
  <w:num w:numId="38">
    <w:abstractNumId w:val="21"/>
  </w:num>
  <w:num w:numId="39">
    <w:abstractNumId w:val="27"/>
  </w:num>
  <w:num w:numId="40">
    <w:abstractNumId w:val="2"/>
  </w:num>
  <w:num w:numId="41">
    <w:abstractNumId w:val="25"/>
  </w:num>
  <w:num w:numId="42">
    <w:abstractNumId w:val="35"/>
  </w:num>
  <w:num w:numId="43">
    <w:abstractNumId w:val="38"/>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01B0"/>
    <w:rsid w:val="0000243E"/>
    <w:rsid w:val="0000314D"/>
    <w:rsid w:val="00003577"/>
    <w:rsid w:val="00003583"/>
    <w:rsid w:val="000035D8"/>
    <w:rsid w:val="0000459B"/>
    <w:rsid w:val="00005E68"/>
    <w:rsid w:val="00005FD8"/>
    <w:rsid w:val="000062D1"/>
    <w:rsid w:val="0000694F"/>
    <w:rsid w:val="000071CC"/>
    <w:rsid w:val="0000740C"/>
    <w:rsid w:val="00007C0D"/>
    <w:rsid w:val="00010CF8"/>
    <w:rsid w:val="00011AA7"/>
    <w:rsid w:val="00011DF1"/>
    <w:rsid w:val="00014DD7"/>
    <w:rsid w:val="0001641E"/>
    <w:rsid w:val="0001685F"/>
    <w:rsid w:val="00016C0F"/>
    <w:rsid w:val="00016E51"/>
    <w:rsid w:val="00017238"/>
    <w:rsid w:val="00017503"/>
    <w:rsid w:val="000207D9"/>
    <w:rsid w:val="00021292"/>
    <w:rsid w:val="000216F2"/>
    <w:rsid w:val="000220D6"/>
    <w:rsid w:val="00022A7F"/>
    <w:rsid w:val="00023115"/>
    <w:rsid w:val="0002331D"/>
    <w:rsid w:val="00024C55"/>
    <w:rsid w:val="00025467"/>
    <w:rsid w:val="00026A96"/>
    <w:rsid w:val="00027157"/>
    <w:rsid w:val="000273AD"/>
    <w:rsid w:val="00027D4F"/>
    <w:rsid w:val="0003065E"/>
    <w:rsid w:val="00031075"/>
    <w:rsid w:val="0003165D"/>
    <w:rsid w:val="0003249B"/>
    <w:rsid w:val="00034775"/>
    <w:rsid w:val="00034FFA"/>
    <w:rsid w:val="00036078"/>
    <w:rsid w:val="000363BF"/>
    <w:rsid w:val="00037556"/>
    <w:rsid w:val="00037E02"/>
    <w:rsid w:val="0004098F"/>
    <w:rsid w:val="00040A03"/>
    <w:rsid w:val="000419F8"/>
    <w:rsid w:val="00042438"/>
    <w:rsid w:val="00044DC0"/>
    <w:rsid w:val="00044EF8"/>
    <w:rsid w:val="0004553D"/>
    <w:rsid w:val="00045803"/>
    <w:rsid w:val="00046C7E"/>
    <w:rsid w:val="00046DBC"/>
    <w:rsid w:val="000525BC"/>
    <w:rsid w:val="00052C0D"/>
    <w:rsid w:val="00052E3E"/>
    <w:rsid w:val="0005371D"/>
    <w:rsid w:val="00055101"/>
    <w:rsid w:val="000553F2"/>
    <w:rsid w:val="00056158"/>
    <w:rsid w:val="0005626D"/>
    <w:rsid w:val="00057B0D"/>
    <w:rsid w:val="00057E29"/>
    <w:rsid w:val="00060AD3"/>
    <w:rsid w:val="00060F83"/>
    <w:rsid w:val="00062B2E"/>
    <w:rsid w:val="000635B2"/>
    <w:rsid w:val="0006399E"/>
    <w:rsid w:val="000644EE"/>
    <w:rsid w:val="0006586E"/>
    <w:rsid w:val="00065F24"/>
    <w:rsid w:val="000668C5"/>
    <w:rsid w:val="00066A84"/>
    <w:rsid w:val="0007009A"/>
    <w:rsid w:val="00071CC0"/>
    <w:rsid w:val="00072DD5"/>
    <w:rsid w:val="00073AC8"/>
    <w:rsid w:val="000741DE"/>
    <w:rsid w:val="000752EC"/>
    <w:rsid w:val="00076300"/>
    <w:rsid w:val="00077C3D"/>
    <w:rsid w:val="000805C4"/>
    <w:rsid w:val="00081379"/>
    <w:rsid w:val="0008289E"/>
    <w:rsid w:val="000833DF"/>
    <w:rsid w:val="00083CC7"/>
    <w:rsid w:val="0008479B"/>
    <w:rsid w:val="000849D6"/>
    <w:rsid w:val="00084ABB"/>
    <w:rsid w:val="000866BD"/>
    <w:rsid w:val="0008697C"/>
    <w:rsid w:val="00090431"/>
    <w:rsid w:val="00090E24"/>
    <w:rsid w:val="0009133F"/>
    <w:rsid w:val="00093BA1"/>
    <w:rsid w:val="00094C38"/>
    <w:rsid w:val="000951B3"/>
    <w:rsid w:val="00095E76"/>
    <w:rsid w:val="00096575"/>
    <w:rsid w:val="0009683F"/>
    <w:rsid w:val="000A2011"/>
    <w:rsid w:val="000A2037"/>
    <w:rsid w:val="000A4261"/>
    <w:rsid w:val="000A4490"/>
    <w:rsid w:val="000A4BDE"/>
    <w:rsid w:val="000A4D8A"/>
    <w:rsid w:val="000A615C"/>
    <w:rsid w:val="000A6C31"/>
    <w:rsid w:val="000A6E25"/>
    <w:rsid w:val="000A79C0"/>
    <w:rsid w:val="000A7F58"/>
    <w:rsid w:val="000B0CB0"/>
    <w:rsid w:val="000B1184"/>
    <w:rsid w:val="000B138C"/>
    <w:rsid w:val="000B1991"/>
    <w:rsid w:val="000B1E17"/>
    <w:rsid w:val="000B22A7"/>
    <w:rsid w:val="000B2D39"/>
    <w:rsid w:val="000B2DAA"/>
    <w:rsid w:val="000B3A19"/>
    <w:rsid w:val="000B4337"/>
    <w:rsid w:val="000B44F5"/>
    <w:rsid w:val="000B522C"/>
    <w:rsid w:val="000B5615"/>
    <w:rsid w:val="000B597B"/>
    <w:rsid w:val="000B7C0B"/>
    <w:rsid w:val="000C07C6"/>
    <w:rsid w:val="000C2B51"/>
    <w:rsid w:val="000C31F3"/>
    <w:rsid w:val="000C34B4"/>
    <w:rsid w:val="000C34D6"/>
    <w:rsid w:val="000C3B35"/>
    <w:rsid w:val="000C4A54"/>
    <w:rsid w:val="000C4E64"/>
    <w:rsid w:val="000C5F08"/>
    <w:rsid w:val="000C69AE"/>
    <w:rsid w:val="000C6A52"/>
    <w:rsid w:val="000C6B5E"/>
    <w:rsid w:val="000C756E"/>
    <w:rsid w:val="000D0562"/>
    <w:rsid w:val="000D0903"/>
    <w:rsid w:val="000D0A9A"/>
    <w:rsid w:val="000D1B5E"/>
    <w:rsid w:val="000D1F5F"/>
    <w:rsid w:val="000D2187"/>
    <w:rsid w:val="000D3F05"/>
    <w:rsid w:val="000D4257"/>
    <w:rsid w:val="000D53D9"/>
    <w:rsid w:val="000D5F7A"/>
    <w:rsid w:val="000D6D35"/>
    <w:rsid w:val="000D7E09"/>
    <w:rsid w:val="000E08D0"/>
    <w:rsid w:val="000E0C56"/>
    <w:rsid w:val="000E11A2"/>
    <w:rsid w:val="000E167A"/>
    <w:rsid w:val="000E1BEB"/>
    <w:rsid w:val="000E1E35"/>
    <w:rsid w:val="000E23A5"/>
    <w:rsid w:val="000E276D"/>
    <w:rsid w:val="000E2D44"/>
    <w:rsid w:val="000E2F40"/>
    <w:rsid w:val="000E4061"/>
    <w:rsid w:val="000E4CD5"/>
    <w:rsid w:val="000E562C"/>
    <w:rsid w:val="000E620A"/>
    <w:rsid w:val="000E6F14"/>
    <w:rsid w:val="000E70D4"/>
    <w:rsid w:val="000E7AB7"/>
    <w:rsid w:val="000F027E"/>
    <w:rsid w:val="000F0790"/>
    <w:rsid w:val="000F1222"/>
    <w:rsid w:val="000F18DD"/>
    <w:rsid w:val="000F3424"/>
    <w:rsid w:val="000F48FA"/>
    <w:rsid w:val="000F7174"/>
    <w:rsid w:val="000F7621"/>
    <w:rsid w:val="000F7E57"/>
    <w:rsid w:val="00100216"/>
    <w:rsid w:val="00101B22"/>
    <w:rsid w:val="0010200A"/>
    <w:rsid w:val="001021C1"/>
    <w:rsid w:val="00102271"/>
    <w:rsid w:val="001030CE"/>
    <w:rsid w:val="0010349B"/>
    <w:rsid w:val="00103E5C"/>
    <w:rsid w:val="001045B6"/>
    <w:rsid w:val="00104854"/>
    <w:rsid w:val="0010490E"/>
    <w:rsid w:val="00105D44"/>
    <w:rsid w:val="001061F9"/>
    <w:rsid w:val="00106980"/>
    <w:rsid w:val="00106B83"/>
    <w:rsid w:val="00106FD8"/>
    <w:rsid w:val="001074B6"/>
    <w:rsid w:val="00107A22"/>
    <w:rsid w:val="0011021A"/>
    <w:rsid w:val="00110267"/>
    <w:rsid w:val="00110DF4"/>
    <w:rsid w:val="00110F7F"/>
    <w:rsid w:val="00111506"/>
    <w:rsid w:val="00111ABB"/>
    <w:rsid w:val="00112457"/>
    <w:rsid w:val="00113E5F"/>
    <w:rsid w:val="00114CE2"/>
    <w:rsid w:val="00115A51"/>
    <w:rsid w:val="00115A9B"/>
    <w:rsid w:val="00115C6B"/>
    <w:rsid w:val="0011744A"/>
    <w:rsid w:val="00117DE3"/>
    <w:rsid w:val="00120961"/>
    <w:rsid w:val="00121F82"/>
    <w:rsid w:val="0012298E"/>
    <w:rsid w:val="00122DEC"/>
    <w:rsid w:val="0012305A"/>
    <w:rsid w:val="00123A91"/>
    <w:rsid w:val="00123A99"/>
    <w:rsid w:val="001252AE"/>
    <w:rsid w:val="00125362"/>
    <w:rsid w:val="00125501"/>
    <w:rsid w:val="00127536"/>
    <w:rsid w:val="001279B3"/>
    <w:rsid w:val="001300A7"/>
    <w:rsid w:val="00130493"/>
    <w:rsid w:val="00130554"/>
    <w:rsid w:val="00130F17"/>
    <w:rsid w:val="001315FB"/>
    <w:rsid w:val="00131FCC"/>
    <w:rsid w:val="00132444"/>
    <w:rsid w:val="00132512"/>
    <w:rsid w:val="001339E8"/>
    <w:rsid w:val="00133B5E"/>
    <w:rsid w:val="001347F8"/>
    <w:rsid w:val="0013514F"/>
    <w:rsid w:val="0013564A"/>
    <w:rsid w:val="00135C5C"/>
    <w:rsid w:val="00137190"/>
    <w:rsid w:val="0013734A"/>
    <w:rsid w:val="0014016C"/>
    <w:rsid w:val="00140DBC"/>
    <w:rsid w:val="00141149"/>
    <w:rsid w:val="001420AF"/>
    <w:rsid w:val="00143EA2"/>
    <w:rsid w:val="0014408C"/>
    <w:rsid w:val="00144380"/>
    <w:rsid w:val="001450BD"/>
    <w:rsid w:val="001452A7"/>
    <w:rsid w:val="00146033"/>
    <w:rsid w:val="00146445"/>
    <w:rsid w:val="00151417"/>
    <w:rsid w:val="001517BE"/>
    <w:rsid w:val="0015405F"/>
    <w:rsid w:val="00154230"/>
    <w:rsid w:val="00155480"/>
    <w:rsid w:val="001565DB"/>
    <w:rsid w:val="001579D6"/>
    <w:rsid w:val="00157F43"/>
    <w:rsid w:val="00160DFD"/>
    <w:rsid w:val="00161E9F"/>
    <w:rsid w:val="001624F7"/>
    <w:rsid w:val="001642EF"/>
    <w:rsid w:val="001642FE"/>
    <w:rsid w:val="00164671"/>
    <w:rsid w:val="00165CA8"/>
    <w:rsid w:val="00166904"/>
    <w:rsid w:val="001678AE"/>
    <w:rsid w:val="00170185"/>
    <w:rsid w:val="00170226"/>
    <w:rsid w:val="001712A2"/>
    <w:rsid w:val="001718CC"/>
    <w:rsid w:val="001720CA"/>
    <w:rsid w:val="00172225"/>
    <w:rsid w:val="00172328"/>
    <w:rsid w:val="00172829"/>
    <w:rsid w:val="00172F7F"/>
    <w:rsid w:val="001737AC"/>
    <w:rsid w:val="0017423B"/>
    <w:rsid w:val="00176EF8"/>
    <w:rsid w:val="00177EA6"/>
    <w:rsid w:val="001803B9"/>
    <w:rsid w:val="00180B0E"/>
    <w:rsid w:val="001817F4"/>
    <w:rsid w:val="00181A24"/>
    <w:rsid w:val="0018250A"/>
    <w:rsid w:val="00182EAC"/>
    <w:rsid w:val="00183EED"/>
    <w:rsid w:val="00184797"/>
    <w:rsid w:val="0018511E"/>
    <w:rsid w:val="00185760"/>
    <w:rsid w:val="001867EC"/>
    <w:rsid w:val="00187518"/>
    <w:rsid w:val="001875DA"/>
    <w:rsid w:val="001907F9"/>
    <w:rsid w:val="00193926"/>
    <w:rsid w:val="00194092"/>
    <w:rsid w:val="0019423A"/>
    <w:rsid w:val="001948A9"/>
    <w:rsid w:val="00194969"/>
    <w:rsid w:val="00194ACD"/>
    <w:rsid w:val="001956C5"/>
    <w:rsid w:val="00195BF5"/>
    <w:rsid w:val="00195D42"/>
    <w:rsid w:val="00195E18"/>
    <w:rsid w:val="00197A10"/>
    <w:rsid w:val="001A11B0"/>
    <w:rsid w:val="001A1C64"/>
    <w:rsid w:val="001A20AF"/>
    <w:rsid w:val="001A28C0"/>
    <w:rsid w:val="001A368B"/>
    <w:rsid w:val="001A46FB"/>
    <w:rsid w:val="001A4F7C"/>
    <w:rsid w:val="001A51FA"/>
    <w:rsid w:val="001A5D9B"/>
    <w:rsid w:val="001A6742"/>
    <w:rsid w:val="001A6862"/>
    <w:rsid w:val="001B0DE1"/>
    <w:rsid w:val="001B1C0B"/>
    <w:rsid w:val="001B2A5D"/>
    <w:rsid w:val="001B36BA"/>
    <w:rsid w:val="001B3F03"/>
    <w:rsid w:val="001B43D0"/>
    <w:rsid w:val="001B4EAA"/>
    <w:rsid w:val="001B5E07"/>
    <w:rsid w:val="001B6272"/>
    <w:rsid w:val="001B62A2"/>
    <w:rsid w:val="001B6C85"/>
    <w:rsid w:val="001B7CCF"/>
    <w:rsid w:val="001B7CE1"/>
    <w:rsid w:val="001C02D9"/>
    <w:rsid w:val="001C02DF"/>
    <w:rsid w:val="001C14C9"/>
    <w:rsid w:val="001C1B5B"/>
    <w:rsid w:val="001C2830"/>
    <w:rsid w:val="001C53D3"/>
    <w:rsid w:val="001C6603"/>
    <w:rsid w:val="001C6ACC"/>
    <w:rsid w:val="001C7328"/>
    <w:rsid w:val="001C761C"/>
    <w:rsid w:val="001C7BBA"/>
    <w:rsid w:val="001C7F1A"/>
    <w:rsid w:val="001D09AC"/>
    <w:rsid w:val="001D0EC9"/>
    <w:rsid w:val="001D1340"/>
    <w:rsid w:val="001D1782"/>
    <w:rsid w:val="001D201F"/>
    <w:rsid w:val="001D27BB"/>
    <w:rsid w:val="001D3202"/>
    <w:rsid w:val="001D3896"/>
    <w:rsid w:val="001D4718"/>
    <w:rsid w:val="001D4DA5"/>
    <w:rsid w:val="001D513B"/>
    <w:rsid w:val="001D712A"/>
    <w:rsid w:val="001D76D4"/>
    <w:rsid w:val="001E282D"/>
    <w:rsid w:val="001E3267"/>
    <w:rsid w:val="001E465D"/>
    <w:rsid w:val="001E4DC2"/>
    <w:rsid w:val="001E52F4"/>
    <w:rsid w:val="001E5C44"/>
    <w:rsid w:val="001E5DE9"/>
    <w:rsid w:val="001E5E68"/>
    <w:rsid w:val="001E60B8"/>
    <w:rsid w:val="001E659F"/>
    <w:rsid w:val="001E78B2"/>
    <w:rsid w:val="001E7CCD"/>
    <w:rsid w:val="001F00B7"/>
    <w:rsid w:val="001F1B51"/>
    <w:rsid w:val="001F2424"/>
    <w:rsid w:val="001F24BD"/>
    <w:rsid w:val="001F2ED0"/>
    <w:rsid w:val="001F3068"/>
    <w:rsid w:val="001F32A5"/>
    <w:rsid w:val="001F42E4"/>
    <w:rsid w:val="001F45CE"/>
    <w:rsid w:val="001F5D08"/>
    <w:rsid w:val="001F6379"/>
    <w:rsid w:val="00200152"/>
    <w:rsid w:val="002004E1"/>
    <w:rsid w:val="0020114E"/>
    <w:rsid w:val="002017E2"/>
    <w:rsid w:val="00201F54"/>
    <w:rsid w:val="00202DFC"/>
    <w:rsid w:val="00203F73"/>
    <w:rsid w:val="0020472B"/>
    <w:rsid w:val="002067C9"/>
    <w:rsid w:val="00207A20"/>
    <w:rsid w:val="00207C66"/>
    <w:rsid w:val="0021021D"/>
    <w:rsid w:val="00211AB8"/>
    <w:rsid w:val="00211D98"/>
    <w:rsid w:val="0021431B"/>
    <w:rsid w:val="00214903"/>
    <w:rsid w:val="00214A1F"/>
    <w:rsid w:val="002156EB"/>
    <w:rsid w:val="00216D80"/>
    <w:rsid w:val="00217440"/>
    <w:rsid w:val="00220403"/>
    <w:rsid w:val="00220627"/>
    <w:rsid w:val="0022081B"/>
    <w:rsid w:val="00221230"/>
    <w:rsid w:val="00222382"/>
    <w:rsid w:val="00222B57"/>
    <w:rsid w:val="00222C72"/>
    <w:rsid w:val="002232D1"/>
    <w:rsid w:val="00224E34"/>
    <w:rsid w:val="0022578C"/>
    <w:rsid w:val="00226A9A"/>
    <w:rsid w:val="00226C2F"/>
    <w:rsid w:val="00226FCB"/>
    <w:rsid w:val="00227080"/>
    <w:rsid w:val="002277F9"/>
    <w:rsid w:val="00227D98"/>
    <w:rsid w:val="0023055D"/>
    <w:rsid w:val="00230A2B"/>
    <w:rsid w:val="00231B61"/>
    <w:rsid w:val="002330BB"/>
    <w:rsid w:val="00234A47"/>
    <w:rsid w:val="00235894"/>
    <w:rsid w:val="00235F40"/>
    <w:rsid w:val="00236D85"/>
    <w:rsid w:val="00240385"/>
    <w:rsid w:val="00242EEE"/>
    <w:rsid w:val="00243BE9"/>
    <w:rsid w:val="002442FE"/>
    <w:rsid w:val="00244DC5"/>
    <w:rsid w:val="00245131"/>
    <w:rsid w:val="0024525E"/>
    <w:rsid w:val="00245C4E"/>
    <w:rsid w:val="002469C9"/>
    <w:rsid w:val="00246B7A"/>
    <w:rsid w:val="00246D3F"/>
    <w:rsid w:val="00247042"/>
    <w:rsid w:val="00247832"/>
    <w:rsid w:val="00247C18"/>
    <w:rsid w:val="0025005B"/>
    <w:rsid w:val="00250C11"/>
    <w:rsid w:val="00250CF5"/>
    <w:rsid w:val="0025156D"/>
    <w:rsid w:val="00251F63"/>
    <w:rsid w:val="002530A1"/>
    <w:rsid w:val="002536AC"/>
    <w:rsid w:val="00254170"/>
    <w:rsid w:val="002547F6"/>
    <w:rsid w:val="00254F96"/>
    <w:rsid w:val="002566AB"/>
    <w:rsid w:val="00257BD2"/>
    <w:rsid w:val="00257FDA"/>
    <w:rsid w:val="00260111"/>
    <w:rsid w:val="00260A42"/>
    <w:rsid w:val="002611CF"/>
    <w:rsid w:val="002612BF"/>
    <w:rsid w:val="002618D4"/>
    <w:rsid w:val="00261986"/>
    <w:rsid w:val="002619F0"/>
    <w:rsid w:val="00261D7F"/>
    <w:rsid w:val="00262481"/>
    <w:rsid w:val="00263167"/>
    <w:rsid w:val="00264420"/>
    <w:rsid w:val="00265BC2"/>
    <w:rsid w:val="002662F6"/>
    <w:rsid w:val="00266329"/>
    <w:rsid w:val="0026710C"/>
    <w:rsid w:val="00270215"/>
    <w:rsid w:val="00270550"/>
    <w:rsid w:val="00271EC3"/>
    <w:rsid w:val="00271FAE"/>
    <w:rsid w:val="00272178"/>
    <w:rsid w:val="00272AD7"/>
    <w:rsid w:val="00272EFB"/>
    <w:rsid w:val="00272F10"/>
    <w:rsid w:val="00274B8B"/>
    <w:rsid w:val="00276403"/>
    <w:rsid w:val="00276AC5"/>
    <w:rsid w:val="00276D9D"/>
    <w:rsid w:val="00277135"/>
    <w:rsid w:val="00281521"/>
    <w:rsid w:val="00282312"/>
    <w:rsid w:val="0028277B"/>
    <w:rsid w:val="00282CB5"/>
    <w:rsid w:val="0028417F"/>
    <w:rsid w:val="0028433B"/>
    <w:rsid w:val="00284561"/>
    <w:rsid w:val="0028593B"/>
    <w:rsid w:val="00285F58"/>
    <w:rsid w:val="002862FD"/>
    <w:rsid w:val="002876F0"/>
    <w:rsid w:val="00287AC7"/>
    <w:rsid w:val="00290F12"/>
    <w:rsid w:val="00291F3E"/>
    <w:rsid w:val="00292430"/>
    <w:rsid w:val="002926DD"/>
    <w:rsid w:val="0029272C"/>
    <w:rsid w:val="0029287F"/>
    <w:rsid w:val="00293465"/>
    <w:rsid w:val="00294F98"/>
    <w:rsid w:val="00295747"/>
    <w:rsid w:val="00295A53"/>
    <w:rsid w:val="00295FD6"/>
    <w:rsid w:val="00296AC5"/>
    <w:rsid w:val="00296C7A"/>
    <w:rsid w:val="00297193"/>
    <w:rsid w:val="00297657"/>
    <w:rsid w:val="00297C9D"/>
    <w:rsid w:val="00297F79"/>
    <w:rsid w:val="002A0E03"/>
    <w:rsid w:val="002A1C6B"/>
    <w:rsid w:val="002A2DA9"/>
    <w:rsid w:val="002A3E4D"/>
    <w:rsid w:val="002A3E56"/>
    <w:rsid w:val="002A45C1"/>
    <w:rsid w:val="002A47F4"/>
    <w:rsid w:val="002A51EB"/>
    <w:rsid w:val="002A535A"/>
    <w:rsid w:val="002A6142"/>
    <w:rsid w:val="002A6C6D"/>
    <w:rsid w:val="002A7660"/>
    <w:rsid w:val="002B0099"/>
    <w:rsid w:val="002B09B6"/>
    <w:rsid w:val="002B09ED"/>
    <w:rsid w:val="002B1B66"/>
    <w:rsid w:val="002B2742"/>
    <w:rsid w:val="002B385D"/>
    <w:rsid w:val="002B4620"/>
    <w:rsid w:val="002B4C24"/>
    <w:rsid w:val="002B5660"/>
    <w:rsid w:val="002B5733"/>
    <w:rsid w:val="002B5B15"/>
    <w:rsid w:val="002B5F43"/>
    <w:rsid w:val="002C00A0"/>
    <w:rsid w:val="002C0A35"/>
    <w:rsid w:val="002C0E1E"/>
    <w:rsid w:val="002C14B0"/>
    <w:rsid w:val="002C1DF7"/>
    <w:rsid w:val="002C2056"/>
    <w:rsid w:val="002C471C"/>
    <w:rsid w:val="002C4DC5"/>
    <w:rsid w:val="002C5768"/>
    <w:rsid w:val="002C5AE5"/>
    <w:rsid w:val="002C5FE4"/>
    <w:rsid w:val="002C621C"/>
    <w:rsid w:val="002C7175"/>
    <w:rsid w:val="002D0581"/>
    <w:rsid w:val="002D0F24"/>
    <w:rsid w:val="002D0FAF"/>
    <w:rsid w:val="002D13CB"/>
    <w:rsid w:val="002D1855"/>
    <w:rsid w:val="002D205A"/>
    <w:rsid w:val="002D2607"/>
    <w:rsid w:val="002D2DC7"/>
    <w:rsid w:val="002D3517"/>
    <w:rsid w:val="002D6428"/>
    <w:rsid w:val="002D6748"/>
    <w:rsid w:val="002D720E"/>
    <w:rsid w:val="002E0040"/>
    <w:rsid w:val="002E18F3"/>
    <w:rsid w:val="002E2BEC"/>
    <w:rsid w:val="002E367A"/>
    <w:rsid w:val="002E3902"/>
    <w:rsid w:val="002E3A5A"/>
    <w:rsid w:val="002E3CA8"/>
    <w:rsid w:val="002E4ED1"/>
    <w:rsid w:val="002E5556"/>
    <w:rsid w:val="002F115B"/>
    <w:rsid w:val="002F28CA"/>
    <w:rsid w:val="002F2933"/>
    <w:rsid w:val="002F5D25"/>
    <w:rsid w:val="002F65BC"/>
    <w:rsid w:val="002F71EC"/>
    <w:rsid w:val="002F7A61"/>
    <w:rsid w:val="002F7D07"/>
    <w:rsid w:val="002F7E8A"/>
    <w:rsid w:val="003001C7"/>
    <w:rsid w:val="003005AC"/>
    <w:rsid w:val="00300D02"/>
    <w:rsid w:val="003015F1"/>
    <w:rsid w:val="003019AF"/>
    <w:rsid w:val="003027D2"/>
    <w:rsid w:val="00302AF5"/>
    <w:rsid w:val="003038C5"/>
    <w:rsid w:val="00306BAB"/>
    <w:rsid w:val="00307289"/>
    <w:rsid w:val="00311CBF"/>
    <w:rsid w:val="003133FB"/>
    <w:rsid w:val="00313BBC"/>
    <w:rsid w:val="00313FA2"/>
    <w:rsid w:val="00314704"/>
    <w:rsid w:val="003157FD"/>
    <w:rsid w:val="003159B5"/>
    <w:rsid w:val="00315FB5"/>
    <w:rsid w:val="003161DC"/>
    <w:rsid w:val="003206C6"/>
    <w:rsid w:val="003209F9"/>
    <w:rsid w:val="00320EA3"/>
    <w:rsid w:val="003211B4"/>
    <w:rsid w:val="00321B06"/>
    <w:rsid w:val="00322126"/>
    <w:rsid w:val="0032256A"/>
    <w:rsid w:val="003240A3"/>
    <w:rsid w:val="00325582"/>
    <w:rsid w:val="003259F6"/>
    <w:rsid w:val="00326AD1"/>
    <w:rsid w:val="003271A6"/>
    <w:rsid w:val="00330E7A"/>
    <w:rsid w:val="003322E9"/>
    <w:rsid w:val="003327FA"/>
    <w:rsid w:val="00332F58"/>
    <w:rsid w:val="003334C7"/>
    <w:rsid w:val="00333E81"/>
    <w:rsid w:val="003340F3"/>
    <w:rsid w:val="003349F3"/>
    <w:rsid w:val="00335039"/>
    <w:rsid w:val="00335B3C"/>
    <w:rsid w:val="003363C9"/>
    <w:rsid w:val="003364E6"/>
    <w:rsid w:val="0033673E"/>
    <w:rsid w:val="0033741C"/>
    <w:rsid w:val="00337BA7"/>
    <w:rsid w:val="003420F9"/>
    <w:rsid w:val="00342D0A"/>
    <w:rsid w:val="00343643"/>
    <w:rsid w:val="0034447B"/>
    <w:rsid w:val="00344BC3"/>
    <w:rsid w:val="00346B05"/>
    <w:rsid w:val="00351215"/>
    <w:rsid w:val="003513C2"/>
    <w:rsid w:val="0035202F"/>
    <w:rsid w:val="003527CC"/>
    <w:rsid w:val="00352EA5"/>
    <w:rsid w:val="00352EF1"/>
    <w:rsid w:val="00353428"/>
    <w:rsid w:val="00353CBF"/>
    <w:rsid w:val="00354604"/>
    <w:rsid w:val="003549A0"/>
    <w:rsid w:val="003552BD"/>
    <w:rsid w:val="003560E1"/>
    <w:rsid w:val="003565D1"/>
    <w:rsid w:val="00356ED2"/>
    <w:rsid w:val="003576AB"/>
    <w:rsid w:val="0036055C"/>
    <w:rsid w:val="0036071F"/>
    <w:rsid w:val="00363657"/>
    <w:rsid w:val="003640E3"/>
    <w:rsid w:val="0036437D"/>
    <w:rsid w:val="00365288"/>
    <w:rsid w:val="00365CF4"/>
    <w:rsid w:val="003703B2"/>
    <w:rsid w:val="0037141F"/>
    <w:rsid w:val="00372018"/>
    <w:rsid w:val="003728F9"/>
    <w:rsid w:val="00374A77"/>
    <w:rsid w:val="00375C2F"/>
    <w:rsid w:val="0037640A"/>
    <w:rsid w:val="00377420"/>
    <w:rsid w:val="00381648"/>
    <w:rsid w:val="003816D7"/>
    <w:rsid w:val="003823AF"/>
    <w:rsid w:val="00383297"/>
    <w:rsid w:val="00383A3A"/>
    <w:rsid w:val="00383B40"/>
    <w:rsid w:val="003848A4"/>
    <w:rsid w:val="00385C21"/>
    <w:rsid w:val="00385FC0"/>
    <w:rsid w:val="00386902"/>
    <w:rsid w:val="003871B6"/>
    <w:rsid w:val="00387218"/>
    <w:rsid w:val="00387369"/>
    <w:rsid w:val="00387FC0"/>
    <w:rsid w:val="003900DB"/>
    <w:rsid w:val="003903AE"/>
    <w:rsid w:val="00390825"/>
    <w:rsid w:val="003908CC"/>
    <w:rsid w:val="00391474"/>
    <w:rsid w:val="00392716"/>
    <w:rsid w:val="003941BA"/>
    <w:rsid w:val="00394349"/>
    <w:rsid w:val="0039610D"/>
    <w:rsid w:val="003A0BCC"/>
    <w:rsid w:val="003A270D"/>
    <w:rsid w:val="003A402D"/>
    <w:rsid w:val="003A48C0"/>
    <w:rsid w:val="003A4A83"/>
    <w:rsid w:val="003A5754"/>
    <w:rsid w:val="003A5D94"/>
    <w:rsid w:val="003A638D"/>
    <w:rsid w:val="003A6464"/>
    <w:rsid w:val="003A79AD"/>
    <w:rsid w:val="003B0568"/>
    <w:rsid w:val="003B0700"/>
    <w:rsid w:val="003B0936"/>
    <w:rsid w:val="003B0B9F"/>
    <w:rsid w:val="003B18C7"/>
    <w:rsid w:val="003B29BA"/>
    <w:rsid w:val="003B2EF1"/>
    <w:rsid w:val="003B3E34"/>
    <w:rsid w:val="003B4694"/>
    <w:rsid w:val="003B4A52"/>
    <w:rsid w:val="003B4FA1"/>
    <w:rsid w:val="003B50DD"/>
    <w:rsid w:val="003B575D"/>
    <w:rsid w:val="003B6AC4"/>
    <w:rsid w:val="003C001C"/>
    <w:rsid w:val="003C19C8"/>
    <w:rsid w:val="003C2226"/>
    <w:rsid w:val="003C280B"/>
    <w:rsid w:val="003C2AB0"/>
    <w:rsid w:val="003C2F23"/>
    <w:rsid w:val="003C30E5"/>
    <w:rsid w:val="003C3144"/>
    <w:rsid w:val="003C3369"/>
    <w:rsid w:val="003C451C"/>
    <w:rsid w:val="003C4526"/>
    <w:rsid w:val="003C5915"/>
    <w:rsid w:val="003C6EA3"/>
    <w:rsid w:val="003C7BA9"/>
    <w:rsid w:val="003D061B"/>
    <w:rsid w:val="003D09C5"/>
    <w:rsid w:val="003D3163"/>
    <w:rsid w:val="003D398A"/>
    <w:rsid w:val="003D3AE8"/>
    <w:rsid w:val="003D3C9A"/>
    <w:rsid w:val="003D521B"/>
    <w:rsid w:val="003D5C41"/>
    <w:rsid w:val="003D635D"/>
    <w:rsid w:val="003D7193"/>
    <w:rsid w:val="003D7548"/>
    <w:rsid w:val="003D7F5C"/>
    <w:rsid w:val="003E0690"/>
    <w:rsid w:val="003E0C6C"/>
    <w:rsid w:val="003E2735"/>
    <w:rsid w:val="003E2A09"/>
    <w:rsid w:val="003E316D"/>
    <w:rsid w:val="003E339B"/>
    <w:rsid w:val="003E354A"/>
    <w:rsid w:val="003E38D5"/>
    <w:rsid w:val="003E3AE5"/>
    <w:rsid w:val="003E44A7"/>
    <w:rsid w:val="003E4BF0"/>
    <w:rsid w:val="003E536B"/>
    <w:rsid w:val="003E5B2A"/>
    <w:rsid w:val="003E639F"/>
    <w:rsid w:val="003E63B6"/>
    <w:rsid w:val="003E6E52"/>
    <w:rsid w:val="003E6E8E"/>
    <w:rsid w:val="003F044F"/>
    <w:rsid w:val="003F0BEC"/>
    <w:rsid w:val="003F1913"/>
    <w:rsid w:val="003F1A84"/>
    <w:rsid w:val="003F3392"/>
    <w:rsid w:val="003F385C"/>
    <w:rsid w:val="003F46FA"/>
    <w:rsid w:val="003F4E29"/>
    <w:rsid w:val="003F536A"/>
    <w:rsid w:val="003F5421"/>
    <w:rsid w:val="003F5453"/>
    <w:rsid w:val="003F65A5"/>
    <w:rsid w:val="003F7079"/>
    <w:rsid w:val="003F7220"/>
    <w:rsid w:val="003F745B"/>
    <w:rsid w:val="003F7476"/>
    <w:rsid w:val="003F7C5F"/>
    <w:rsid w:val="004023A1"/>
    <w:rsid w:val="004028F2"/>
    <w:rsid w:val="00402CA9"/>
    <w:rsid w:val="0040475A"/>
    <w:rsid w:val="00404C02"/>
    <w:rsid w:val="00405D85"/>
    <w:rsid w:val="00407403"/>
    <w:rsid w:val="004102B0"/>
    <w:rsid w:val="004104F1"/>
    <w:rsid w:val="004108DC"/>
    <w:rsid w:val="004131EC"/>
    <w:rsid w:val="00414211"/>
    <w:rsid w:val="004142C1"/>
    <w:rsid w:val="004149EB"/>
    <w:rsid w:val="004159A7"/>
    <w:rsid w:val="004161D7"/>
    <w:rsid w:val="00421EBF"/>
    <w:rsid w:val="004222EB"/>
    <w:rsid w:val="004223FA"/>
    <w:rsid w:val="004230D5"/>
    <w:rsid w:val="00423435"/>
    <w:rsid w:val="004234A1"/>
    <w:rsid w:val="00424DCB"/>
    <w:rsid w:val="00425052"/>
    <w:rsid w:val="00425350"/>
    <w:rsid w:val="0042555A"/>
    <w:rsid w:val="004267B3"/>
    <w:rsid w:val="00427819"/>
    <w:rsid w:val="00427AC0"/>
    <w:rsid w:val="00430ADC"/>
    <w:rsid w:val="00430D2E"/>
    <w:rsid w:val="00430F31"/>
    <w:rsid w:val="00431870"/>
    <w:rsid w:val="0043194E"/>
    <w:rsid w:val="00436036"/>
    <w:rsid w:val="00436853"/>
    <w:rsid w:val="00436E6C"/>
    <w:rsid w:val="00437174"/>
    <w:rsid w:val="00437CDA"/>
    <w:rsid w:val="00441028"/>
    <w:rsid w:val="00441195"/>
    <w:rsid w:val="00441373"/>
    <w:rsid w:val="00443024"/>
    <w:rsid w:val="004431AE"/>
    <w:rsid w:val="004436AA"/>
    <w:rsid w:val="00443FC0"/>
    <w:rsid w:val="00445D92"/>
    <w:rsid w:val="00447AAE"/>
    <w:rsid w:val="00452841"/>
    <w:rsid w:val="00452C26"/>
    <w:rsid w:val="00452C7A"/>
    <w:rsid w:val="00453537"/>
    <w:rsid w:val="00453DBA"/>
    <w:rsid w:val="00453E77"/>
    <w:rsid w:val="00453EFC"/>
    <w:rsid w:val="00453F62"/>
    <w:rsid w:val="004545F3"/>
    <w:rsid w:val="00455160"/>
    <w:rsid w:val="004552D7"/>
    <w:rsid w:val="00456C04"/>
    <w:rsid w:val="00456C23"/>
    <w:rsid w:val="00456DA5"/>
    <w:rsid w:val="00457D2C"/>
    <w:rsid w:val="00457E6C"/>
    <w:rsid w:val="00461AAE"/>
    <w:rsid w:val="004622C2"/>
    <w:rsid w:val="004630B8"/>
    <w:rsid w:val="004639AD"/>
    <w:rsid w:val="00464E2C"/>
    <w:rsid w:val="00466F9B"/>
    <w:rsid w:val="004671DC"/>
    <w:rsid w:val="004678C6"/>
    <w:rsid w:val="00470E18"/>
    <w:rsid w:val="004710B7"/>
    <w:rsid w:val="004712C0"/>
    <w:rsid w:val="004714FC"/>
    <w:rsid w:val="00473161"/>
    <w:rsid w:val="004749FB"/>
    <w:rsid w:val="00475473"/>
    <w:rsid w:val="00475C18"/>
    <w:rsid w:val="00476546"/>
    <w:rsid w:val="00476863"/>
    <w:rsid w:val="00480913"/>
    <w:rsid w:val="00480B95"/>
    <w:rsid w:val="00480C37"/>
    <w:rsid w:val="00480CC8"/>
    <w:rsid w:val="0048485A"/>
    <w:rsid w:val="004848F2"/>
    <w:rsid w:val="004855A0"/>
    <w:rsid w:val="00486156"/>
    <w:rsid w:val="004875E4"/>
    <w:rsid w:val="0049044C"/>
    <w:rsid w:val="00490C48"/>
    <w:rsid w:val="00491000"/>
    <w:rsid w:val="00491015"/>
    <w:rsid w:val="004918B1"/>
    <w:rsid w:val="0049193A"/>
    <w:rsid w:val="00492077"/>
    <w:rsid w:val="004927C4"/>
    <w:rsid w:val="00492B00"/>
    <w:rsid w:val="00492B0C"/>
    <w:rsid w:val="00492E57"/>
    <w:rsid w:val="00492E66"/>
    <w:rsid w:val="00493415"/>
    <w:rsid w:val="004938CD"/>
    <w:rsid w:val="00494050"/>
    <w:rsid w:val="00495081"/>
    <w:rsid w:val="00495971"/>
    <w:rsid w:val="00495B49"/>
    <w:rsid w:val="004960E4"/>
    <w:rsid w:val="00496465"/>
    <w:rsid w:val="00496FF5"/>
    <w:rsid w:val="00497929"/>
    <w:rsid w:val="00497AEC"/>
    <w:rsid w:val="004A092D"/>
    <w:rsid w:val="004A0CB3"/>
    <w:rsid w:val="004A169C"/>
    <w:rsid w:val="004A2224"/>
    <w:rsid w:val="004A238A"/>
    <w:rsid w:val="004A2472"/>
    <w:rsid w:val="004A2551"/>
    <w:rsid w:val="004A2CCD"/>
    <w:rsid w:val="004A392D"/>
    <w:rsid w:val="004A500A"/>
    <w:rsid w:val="004A52D7"/>
    <w:rsid w:val="004A7109"/>
    <w:rsid w:val="004B0468"/>
    <w:rsid w:val="004B0ACE"/>
    <w:rsid w:val="004B1409"/>
    <w:rsid w:val="004B2923"/>
    <w:rsid w:val="004B3CEA"/>
    <w:rsid w:val="004B43E7"/>
    <w:rsid w:val="004B44EC"/>
    <w:rsid w:val="004B553A"/>
    <w:rsid w:val="004C0140"/>
    <w:rsid w:val="004C02B1"/>
    <w:rsid w:val="004C0867"/>
    <w:rsid w:val="004C0932"/>
    <w:rsid w:val="004C13C3"/>
    <w:rsid w:val="004C1646"/>
    <w:rsid w:val="004C1795"/>
    <w:rsid w:val="004C1C42"/>
    <w:rsid w:val="004C1FCF"/>
    <w:rsid w:val="004C301B"/>
    <w:rsid w:val="004C3151"/>
    <w:rsid w:val="004C368D"/>
    <w:rsid w:val="004C37F5"/>
    <w:rsid w:val="004C4D0B"/>
    <w:rsid w:val="004C6F6D"/>
    <w:rsid w:val="004D033A"/>
    <w:rsid w:val="004D0CF5"/>
    <w:rsid w:val="004D19FC"/>
    <w:rsid w:val="004D2CBD"/>
    <w:rsid w:val="004D3D46"/>
    <w:rsid w:val="004D58C0"/>
    <w:rsid w:val="004D5A91"/>
    <w:rsid w:val="004D5BB6"/>
    <w:rsid w:val="004D5BED"/>
    <w:rsid w:val="004D61B0"/>
    <w:rsid w:val="004D6A7F"/>
    <w:rsid w:val="004E0184"/>
    <w:rsid w:val="004E069C"/>
    <w:rsid w:val="004E0B0A"/>
    <w:rsid w:val="004E31D8"/>
    <w:rsid w:val="004E3977"/>
    <w:rsid w:val="004E4327"/>
    <w:rsid w:val="004E43BF"/>
    <w:rsid w:val="004E4629"/>
    <w:rsid w:val="004E5976"/>
    <w:rsid w:val="004E67BF"/>
    <w:rsid w:val="004E75D4"/>
    <w:rsid w:val="004F061C"/>
    <w:rsid w:val="004F11DA"/>
    <w:rsid w:val="004F12AC"/>
    <w:rsid w:val="004F2FAF"/>
    <w:rsid w:val="004F3523"/>
    <w:rsid w:val="004F3711"/>
    <w:rsid w:val="004F3D4A"/>
    <w:rsid w:val="004F4C5B"/>
    <w:rsid w:val="004F5841"/>
    <w:rsid w:val="004F75B8"/>
    <w:rsid w:val="004F76F0"/>
    <w:rsid w:val="00501068"/>
    <w:rsid w:val="0050156B"/>
    <w:rsid w:val="00501C36"/>
    <w:rsid w:val="00502558"/>
    <w:rsid w:val="00502D31"/>
    <w:rsid w:val="0050697C"/>
    <w:rsid w:val="0050723E"/>
    <w:rsid w:val="00507992"/>
    <w:rsid w:val="005102CA"/>
    <w:rsid w:val="00510511"/>
    <w:rsid w:val="005108D4"/>
    <w:rsid w:val="00510C89"/>
    <w:rsid w:val="00511003"/>
    <w:rsid w:val="00512453"/>
    <w:rsid w:val="00512583"/>
    <w:rsid w:val="005126AD"/>
    <w:rsid w:val="00512E13"/>
    <w:rsid w:val="00512EB0"/>
    <w:rsid w:val="0051430B"/>
    <w:rsid w:val="00514FEF"/>
    <w:rsid w:val="005158AD"/>
    <w:rsid w:val="005163DB"/>
    <w:rsid w:val="00516B9D"/>
    <w:rsid w:val="00516E21"/>
    <w:rsid w:val="005171C5"/>
    <w:rsid w:val="0051798D"/>
    <w:rsid w:val="00517A79"/>
    <w:rsid w:val="00517B97"/>
    <w:rsid w:val="00520403"/>
    <w:rsid w:val="0052054C"/>
    <w:rsid w:val="00521250"/>
    <w:rsid w:val="005224BF"/>
    <w:rsid w:val="0052269A"/>
    <w:rsid w:val="0052322E"/>
    <w:rsid w:val="005242BA"/>
    <w:rsid w:val="00525943"/>
    <w:rsid w:val="0052630B"/>
    <w:rsid w:val="00526413"/>
    <w:rsid w:val="005265DD"/>
    <w:rsid w:val="00526928"/>
    <w:rsid w:val="005271BC"/>
    <w:rsid w:val="00527787"/>
    <w:rsid w:val="005277BC"/>
    <w:rsid w:val="00527857"/>
    <w:rsid w:val="005304C8"/>
    <w:rsid w:val="0053072B"/>
    <w:rsid w:val="0053262C"/>
    <w:rsid w:val="00532882"/>
    <w:rsid w:val="0053412C"/>
    <w:rsid w:val="00534248"/>
    <w:rsid w:val="00534B4C"/>
    <w:rsid w:val="00535DC6"/>
    <w:rsid w:val="005365FF"/>
    <w:rsid w:val="00537A0D"/>
    <w:rsid w:val="0054009F"/>
    <w:rsid w:val="005409E2"/>
    <w:rsid w:val="00541A30"/>
    <w:rsid w:val="00541DC5"/>
    <w:rsid w:val="00542845"/>
    <w:rsid w:val="005430B0"/>
    <w:rsid w:val="00543A99"/>
    <w:rsid w:val="0054403B"/>
    <w:rsid w:val="00544300"/>
    <w:rsid w:val="005447D1"/>
    <w:rsid w:val="00544899"/>
    <w:rsid w:val="00544BAA"/>
    <w:rsid w:val="00545737"/>
    <w:rsid w:val="0054574E"/>
    <w:rsid w:val="0054620D"/>
    <w:rsid w:val="00546823"/>
    <w:rsid w:val="0054745E"/>
    <w:rsid w:val="00550C6F"/>
    <w:rsid w:val="00551817"/>
    <w:rsid w:val="00553DBD"/>
    <w:rsid w:val="00555308"/>
    <w:rsid w:val="005571C0"/>
    <w:rsid w:val="00557246"/>
    <w:rsid w:val="00557E0C"/>
    <w:rsid w:val="005616DA"/>
    <w:rsid w:val="00561C96"/>
    <w:rsid w:val="005632D8"/>
    <w:rsid w:val="00564451"/>
    <w:rsid w:val="005652A4"/>
    <w:rsid w:val="00565996"/>
    <w:rsid w:val="00565D77"/>
    <w:rsid w:val="005716C1"/>
    <w:rsid w:val="00571845"/>
    <w:rsid w:val="005718EF"/>
    <w:rsid w:val="00572707"/>
    <w:rsid w:val="00572B01"/>
    <w:rsid w:val="00572E54"/>
    <w:rsid w:val="0057327E"/>
    <w:rsid w:val="00573821"/>
    <w:rsid w:val="0057495B"/>
    <w:rsid w:val="005753B8"/>
    <w:rsid w:val="00576FC1"/>
    <w:rsid w:val="00577D3F"/>
    <w:rsid w:val="0058001F"/>
    <w:rsid w:val="0058223D"/>
    <w:rsid w:val="005822A9"/>
    <w:rsid w:val="005825AB"/>
    <w:rsid w:val="00583750"/>
    <w:rsid w:val="00583D45"/>
    <w:rsid w:val="005842A6"/>
    <w:rsid w:val="00584325"/>
    <w:rsid w:val="00585950"/>
    <w:rsid w:val="0058635E"/>
    <w:rsid w:val="00587034"/>
    <w:rsid w:val="0059126E"/>
    <w:rsid w:val="00591C33"/>
    <w:rsid w:val="00591E81"/>
    <w:rsid w:val="00592DF7"/>
    <w:rsid w:val="00592E1B"/>
    <w:rsid w:val="00594D0C"/>
    <w:rsid w:val="00594E1F"/>
    <w:rsid w:val="005960C4"/>
    <w:rsid w:val="00597881"/>
    <w:rsid w:val="005A02A4"/>
    <w:rsid w:val="005A15E9"/>
    <w:rsid w:val="005A20F7"/>
    <w:rsid w:val="005A229A"/>
    <w:rsid w:val="005A2A4A"/>
    <w:rsid w:val="005A38E6"/>
    <w:rsid w:val="005A4714"/>
    <w:rsid w:val="005A49DF"/>
    <w:rsid w:val="005A5E9D"/>
    <w:rsid w:val="005A670D"/>
    <w:rsid w:val="005A7550"/>
    <w:rsid w:val="005B04D9"/>
    <w:rsid w:val="005B059A"/>
    <w:rsid w:val="005B150A"/>
    <w:rsid w:val="005B1696"/>
    <w:rsid w:val="005B19EE"/>
    <w:rsid w:val="005B1EAD"/>
    <w:rsid w:val="005B2AC9"/>
    <w:rsid w:val="005B4ADF"/>
    <w:rsid w:val="005B5B57"/>
    <w:rsid w:val="005B5CC5"/>
    <w:rsid w:val="005B6E61"/>
    <w:rsid w:val="005B72F4"/>
    <w:rsid w:val="005B7D70"/>
    <w:rsid w:val="005C0699"/>
    <w:rsid w:val="005C0971"/>
    <w:rsid w:val="005C09CB"/>
    <w:rsid w:val="005C1BFA"/>
    <w:rsid w:val="005C20A0"/>
    <w:rsid w:val="005C2EDB"/>
    <w:rsid w:val="005C30BA"/>
    <w:rsid w:val="005C3AAF"/>
    <w:rsid w:val="005C3CC7"/>
    <w:rsid w:val="005C7B4A"/>
    <w:rsid w:val="005D11BE"/>
    <w:rsid w:val="005D1222"/>
    <w:rsid w:val="005D14D8"/>
    <w:rsid w:val="005D186F"/>
    <w:rsid w:val="005D192C"/>
    <w:rsid w:val="005D19E6"/>
    <w:rsid w:val="005D2418"/>
    <w:rsid w:val="005D3AD3"/>
    <w:rsid w:val="005D4023"/>
    <w:rsid w:val="005D4034"/>
    <w:rsid w:val="005D5D1D"/>
    <w:rsid w:val="005D768D"/>
    <w:rsid w:val="005E00F1"/>
    <w:rsid w:val="005E08F7"/>
    <w:rsid w:val="005E1D73"/>
    <w:rsid w:val="005E1F31"/>
    <w:rsid w:val="005E3700"/>
    <w:rsid w:val="005E37A8"/>
    <w:rsid w:val="005E5C46"/>
    <w:rsid w:val="005E5DCD"/>
    <w:rsid w:val="005E5E12"/>
    <w:rsid w:val="005E75D9"/>
    <w:rsid w:val="005F1137"/>
    <w:rsid w:val="005F1CF2"/>
    <w:rsid w:val="005F1F5A"/>
    <w:rsid w:val="005F226D"/>
    <w:rsid w:val="005F2E39"/>
    <w:rsid w:val="005F48E9"/>
    <w:rsid w:val="005F5666"/>
    <w:rsid w:val="005F57FF"/>
    <w:rsid w:val="005F69D2"/>
    <w:rsid w:val="005F69E4"/>
    <w:rsid w:val="005F7083"/>
    <w:rsid w:val="005F7B45"/>
    <w:rsid w:val="006014B6"/>
    <w:rsid w:val="00601F72"/>
    <w:rsid w:val="00602898"/>
    <w:rsid w:val="00603548"/>
    <w:rsid w:val="00603C9A"/>
    <w:rsid w:val="0060558A"/>
    <w:rsid w:val="0060722F"/>
    <w:rsid w:val="0060785D"/>
    <w:rsid w:val="006109E6"/>
    <w:rsid w:val="00610BF1"/>
    <w:rsid w:val="00610DAB"/>
    <w:rsid w:val="006110D2"/>
    <w:rsid w:val="0061167C"/>
    <w:rsid w:val="00611D8C"/>
    <w:rsid w:val="006126D0"/>
    <w:rsid w:val="00612D70"/>
    <w:rsid w:val="00612D8F"/>
    <w:rsid w:val="006132DF"/>
    <w:rsid w:val="0061338A"/>
    <w:rsid w:val="00613CBB"/>
    <w:rsid w:val="00613D08"/>
    <w:rsid w:val="0061673A"/>
    <w:rsid w:val="00617236"/>
    <w:rsid w:val="00617411"/>
    <w:rsid w:val="00617AD8"/>
    <w:rsid w:val="00620033"/>
    <w:rsid w:val="0062275D"/>
    <w:rsid w:val="00622F42"/>
    <w:rsid w:val="00623D32"/>
    <w:rsid w:val="00624853"/>
    <w:rsid w:val="00624C58"/>
    <w:rsid w:val="00626268"/>
    <w:rsid w:val="006268DB"/>
    <w:rsid w:val="00626B4F"/>
    <w:rsid w:val="0062707F"/>
    <w:rsid w:val="0062711A"/>
    <w:rsid w:val="006276CC"/>
    <w:rsid w:val="006301B6"/>
    <w:rsid w:val="006323DB"/>
    <w:rsid w:val="00635ACF"/>
    <w:rsid w:val="00635E8B"/>
    <w:rsid w:val="00636E75"/>
    <w:rsid w:val="00640663"/>
    <w:rsid w:val="006416B1"/>
    <w:rsid w:val="00641763"/>
    <w:rsid w:val="0064210E"/>
    <w:rsid w:val="006432EF"/>
    <w:rsid w:val="006437A5"/>
    <w:rsid w:val="00645360"/>
    <w:rsid w:val="006456EE"/>
    <w:rsid w:val="00646A11"/>
    <w:rsid w:val="00646D10"/>
    <w:rsid w:val="00646D7B"/>
    <w:rsid w:val="00646E26"/>
    <w:rsid w:val="00647036"/>
    <w:rsid w:val="006470EC"/>
    <w:rsid w:val="006505AD"/>
    <w:rsid w:val="00651083"/>
    <w:rsid w:val="00651302"/>
    <w:rsid w:val="00654036"/>
    <w:rsid w:val="006540F5"/>
    <w:rsid w:val="006544BC"/>
    <w:rsid w:val="00654610"/>
    <w:rsid w:val="00656393"/>
    <w:rsid w:val="006567FA"/>
    <w:rsid w:val="00657FB3"/>
    <w:rsid w:val="00660516"/>
    <w:rsid w:val="00660F26"/>
    <w:rsid w:val="006611B5"/>
    <w:rsid w:val="006622BE"/>
    <w:rsid w:val="00663D9A"/>
    <w:rsid w:val="0066445B"/>
    <w:rsid w:val="00664C5F"/>
    <w:rsid w:val="00664D75"/>
    <w:rsid w:val="00665793"/>
    <w:rsid w:val="00665FC5"/>
    <w:rsid w:val="00666176"/>
    <w:rsid w:val="00666A5E"/>
    <w:rsid w:val="00667E91"/>
    <w:rsid w:val="00670A05"/>
    <w:rsid w:val="00670B78"/>
    <w:rsid w:val="00670D60"/>
    <w:rsid w:val="006719ED"/>
    <w:rsid w:val="00671E17"/>
    <w:rsid w:val="00671F7E"/>
    <w:rsid w:val="00672886"/>
    <w:rsid w:val="0067309B"/>
    <w:rsid w:val="006734C3"/>
    <w:rsid w:val="00676423"/>
    <w:rsid w:val="00676604"/>
    <w:rsid w:val="006772FC"/>
    <w:rsid w:val="0068075B"/>
    <w:rsid w:val="00680B56"/>
    <w:rsid w:val="006816EA"/>
    <w:rsid w:val="00682BBD"/>
    <w:rsid w:val="00683955"/>
    <w:rsid w:val="00683C71"/>
    <w:rsid w:val="00684E39"/>
    <w:rsid w:val="00685918"/>
    <w:rsid w:val="006908DF"/>
    <w:rsid w:val="006933C7"/>
    <w:rsid w:val="006934C3"/>
    <w:rsid w:val="00694003"/>
    <w:rsid w:val="0069479D"/>
    <w:rsid w:val="00694E49"/>
    <w:rsid w:val="00695BF2"/>
    <w:rsid w:val="006967FE"/>
    <w:rsid w:val="00696961"/>
    <w:rsid w:val="00696A50"/>
    <w:rsid w:val="00696B00"/>
    <w:rsid w:val="006A05BF"/>
    <w:rsid w:val="006A089A"/>
    <w:rsid w:val="006A0F3E"/>
    <w:rsid w:val="006A12C7"/>
    <w:rsid w:val="006A1491"/>
    <w:rsid w:val="006A3A6A"/>
    <w:rsid w:val="006A3ABC"/>
    <w:rsid w:val="006A3D2E"/>
    <w:rsid w:val="006A44FD"/>
    <w:rsid w:val="006A5C09"/>
    <w:rsid w:val="006A6E10"/>
    <w:rsid w:val="006B0D0E"/>
    <w:rsid w:val="006B0F80"/>
    <w:rsid w:val="006B167D"/>
    <w:rsid w:val="006B1F62"/>
    <w:rsid w:val="006B2847"/>
    <w:rsid w:val="006B329D"/>
    <w:rsid w:val="006B372D"/>
    <w:rsid w:val="006B3737"/>
    <w:rsid w:val="006B3A15"/>
    <w:rsid w:val="006B3CDC"/>
    <w:rsid w:val="006B468C"/>
    <w:rsid w:val="006B6136"/>
    <w:rsid w:val="006B64E8"/>
    <w:rsid w:val="006B6532"/>
    <w:rsid w:val="006B6AFA"/>
    <w:rsid w:val="006C13FD"/>
    <w:rsid w:val="006C27C3"/>
    <w:rsid w:val="006C29EB"/>
    <w:rsid w:val="006C2DB1"/>
    <w:rsid w:val="006C3A33"/>
    <w:rsid w:val="006C4678"/>
    <w:rsid w:val="006C4CCA"/>
    <w:rsid w:val="006C4CF9"/>
    <w:rsid w:val="006C4D3E"/>
    <w:rsid w:val="006C4D89"/>
    <w:rsid w:val="006C53ED"/>
    <w:rsid w:val="006C5974"/>
    <w:rsid w:val="006C5E94"/>
    <w:rsid w:val="006C6EDB"/>
    <w:rsid w:val="006C764B"/>
    <w:rsid w:val="006C79BB"/>
    <w:rsid w:val="006D23C4"/>
    <w:rsid w:val="006D29A7"/>
    <w:rsid w:val="006D30C9"/>
    <w:rsid w:val="006D49B3"/>
    <w:rsid w:val="006D604A"/>
    <w:rsid w:val="006D68E6"/>
    <w:rsid w:val="006D6F93"/>
    <w:rsid w:val="006D7724"/>
    <w:rsid w:val="006D77A4"/>
    <w:rsid w:val="006E05A8"/>
    <w:rsid w:val="006E0800"/>
    <w:rsid w:val="006E0B42"/>
    <w:rsid w:val="006E166D"/>
    <w:rsid w:val="006E1B88"/>
    <w:rsid w:val="006E274F"/>
    <w:rsid w:val="006E2818"/>
    <w:rsid w:val="006E2EEE"/>
    <w:rsid w:val="006E42EC"/>
    <w:rsid w:val="006E6377"/>
    <w:rsid w:val="006E641F"/>
    <w:rsid w:val="006E7694"/>
    <w:rsid w:val="006E7FF6"/>
    <w:rsid w:val="006F0483"/>
    <w:rsid w:val="006F1011"/>
    <w:rsid w:val="006F1108"/>
    <w:rsid w:val="006F145A"/>
    <w:rsid w:val="006F16B1"/>
    <w:rsid w:val="006F1F74"/>
    <w:rsid w:val="006F2067"/>
    <w:rsid w:val="006F4968"/>
    <w:rsid w:val="006F4EB7"/>
    <w:rsid w:val="006F50D9"/>
    <w:rsid w:val="006F5892"/>
    <w:rsid w:val="006F6426"/>
    <w:rsid w:val="006F64A3"/>
    <w:rsid w:val="006F6507"/>
    <w:rsid w:val="006F745F"/>
    <w:rsid w:val="006F757C"/>
    <w:rsid w:val="0070001C"/>
    <w:rsid w:val="0070068E"/>
    <w:rsid w:val="00701D17"/>
    <w:rsid w:val="007028A9"/>
    <w:rsid w:val="0070382E"/>
    <w:rsid w:val="00704809"/>
    <w:rsid w:val="00705C93"/>
    <w:rsid w:val="00705E88"/>
    <w:rsid w:val="00705F9A"/>
    <w:rsid w:val="00706C60"/>
    <w:rsid w:val="00707565"/>
    <w:rsid w:val="00707613"/>
    <w:rsid w:val="007101E7"/>
    <w:rsid w:val="00710311"/>
    <w:rsid w:val="00710F12"/>
    <w:rsid w:val="007114A2"/>
    <w:rsid w:val="00712933"/>
    <w:rsid w:val="00712F06"/>
    <w:rsid w:val="00714386"/>
    <w:rsid w:val="007151C2"/>
    <w:rsid w:val="007152A4"/>
    <w:rsid w:val="0071676C"/>
    <w:rsid w:val="00717725"/>
    <w:rsid w:val="007178EC"/>
    <w:rsid w:val="00717E7A"/>
    <w:rsid w:val="007203A0"/>
    <w:rsid w:val="00720C1C"/>
    <w:rsid w:val="00722B13"/>
    <w:rsid w:val="00723382"/>
    <w:rsid w:val="007254DD"/>
    <w:rsid w:val="007256F7"/>
    <w:rsid w:val="00726387"/>
    <w:rsid w:val="0072723C"/>
    <w:rsid w:val="007279B3"/>
    <w:rsid w:val="0073066C"/>
    <w:rsid w:val="00732300"/>
    <w:rsid w:val="00732C96"/>
    <w:rsid w:val="007331B0"/>
    <w:rsid w:val="00736393"/>
    <w:rsid w:val="00736E53"/>
    <w:rsid w:val="00737B62"/>
    <w:rsid w:val="00737DEE"/>
    <w:rsid w:val="00741240"/>
    <w:rsid w:val="0074125C"/>
    <w:rsid w:val="00741F3C"/>
    <w:rsid w:val="00742B12"/>
    <w:rsid w:val="00743AC0"/>
    <w:rsid w:val="007447F0"/>
    <w:rsid w:val="00744DC9"/>
    <w:rsid w:val="00745C80"/>
    <w:rsid w:val="00746057"/>
    <w:rsid w:val="00746AF0"/>
    <w:rsid w:val="00747060"/>
    <w:rsid w:val="00747674"/>
    <w:rsid w:val="00747B26"/>
    <w:rsid w:val="00750459"/>
    <w:rsid w:val="00750D8C"/>
    <w:rsid w:val="00751049"/>
    <w:rsid w:val="00751645"/>
    <w:rsid w:val="00751F59"/>
    <w:rsid w:val="00752E32"/>
    <w:rsid w:val="00753B54"/>
    <w:rsid w:val="00754A60"/>
    <w:rsid w:val="00755EFE"/>
    <w:rsid w:val="007568B1"/>
    <w:rsid w:val="00756BBB"/>
    <w:rsid w:val="00756EAF"/>
    <w:rsid w:val="007579D3"/>
    <w:rsid w:val="00757E26"/>
    <w:rsid w:val="00760012"/>
    <w:rsid w:val="007607C6"/>
    <w:rsid w:val="007610F4"/>
    <w:rsid w:val="007615E3"/>
    <w:rsid w:val="00761876"/>
    <w:rsid w:val="00762BB3"/>
    <w:rsid w:val="00763E50"/>
    <w:rsid w:val="00767028"/>
    <w:rsid w:val="007679B0"/>
    <w:rsid w:val="00770173"/>
    <w:rsid w:val="00770559"/>
    <w:rsid w:val="00770AC9"/>
    <w:rsid w:val="0077121A"/>
    <w:rsid w:val="007718DB"/>
    <w:rsid w:val="0077230C"/>
    <w:rsid w:val="00772341"/>
    <w:rsid w:val="00772DF6"/>
    <w:rsid w:val="0077382A"/>
    <w:rsid w:val="00774604"/>
    <w:rsid w:val="00775037"/>
    <w:rsid w:val="007766DC"/>
    <w:rsid w:val="00776E9C"/>
    <w:rsid w:val="007772E4"/>
    <w:rsid w:val="007779C9"/>
    <w:rsid w:val="00777C61"/>
    <w:rsid w:val="00777D23"/>
    <w:rsid w:val="00780216"/>
    <w:rsid w:val="0078039D"/>
    <w:rsid w:val="007808E4"/>
    <w:rsid w:val="00780F3C"/>
    <w:rsid w:val="00781FC9"/>
    <w:rsid w:val="00782A88"/>
    <w:rsid w:val="00783248"/>
    <w:rsid w:val="00783481"/>
    <w:rsid w:val="00783EC3"/>
    <w:rsid w:val="007848AF"/>
    <w:rsid w:val="007848C1"/>
    <w:rsid w:val="00784EA4"/>
    <w:rsid w:val="00784F9D"/>
    <w:rsid w:val="0078534D"/>
    <w:rsid w:val="0078618B"/>
    <w:rsid w:val="00786734"/>
    <w:rsid w:val="007867AB"/>
    <w:rsid w:val="007867C0"/>
    <w:rsid w:val="007877B3"/>
    <w:rsid w:val="00790516"/>
    <w:rsid w:val="00790775"/>
    <w:rsid w:val="0079092D"/>
    <w:rsid w:val="00791684"/>
    <w:rsid w:val="00791732"/>
    <w:rsid w:val="00795551"/>
    <w:rsid w:val="00795673"/>
    <w:rsid w:val="00795995"/>
    <w:rsid w:val="00796798"/>
    <w:rsid w:val="00796F89"/>
    <w:rsid w:val="00797639"/>
    <w:rsid w:val="00797720"/>
    <w:rsid w:val="0079793D"/>
    <w:rsid w:val="00797EB2"/>
    <w:rsid w:val="007A19D9"/>
    <w:rsid w:val="007A1BD6"/>
    <w:rsid w:val="007A2076"/>
    <w:rsid w:val="007A239B"/>
    <w:rsid w:val="007A46B8"/>
    <w:rsid w:val="007A4AEB"/>
    <w:rsid w:val="007A6D0A"/>
    <w:rsid w:val="007B0213"/>
    <w:rsid w:val="007B025D"/>
    <w:rsid w:val="007B0F23"/>
    <w:rsid w:val="007B1A28"/>
    <w:rsid w:val="007B1AE7"/>
    <w:rsid w:val="007B329E"/>
    <w:rsid w:val="007B48E7"/>
    <w:rsid w:val="007B4969"/>
    <w:rsid w:val="007B4CC0"/>
    <w:rsid w:val="007B53BD"/>
    <w:rsid w:val="007B576A"/>
    <w:rsid w:val="007B6464"/>
    <w:rsid w:val="007B656D"/>
    <w:rsid w:val="007B6EED"/>
    <w:rsid w:val="007C01D8"/>
    <w:rsid w:val="007C0282"/>
    <w:rsid w:val="007C05FC"/>
    <w:rsid w:val="007C0996"/>
    <w:rsid w:val="007C22A0"/>
    <w:rsid w:val="007C2638"/>
    <w:rsid w:val="007C5B91"/>
    <w:rsid w:val="007C7D07"/>
    <w:rsid w:val="007D0B8E"/>
    <w:rsid w:val="007D363A"/>
    <w:rsid w:val="007D4984"/>
    <w:rsid w:val="007D5863"/>
    <w:rsid w:val="007D59A6"/>
    <w:rsid w:val="007D715A"/>
    <w:rsid w:val="007D71FE"/>
    <w:rsid w:val="007D7B2C"/>
    <w:rsid w:val="007D7F3A"/>
    <w:rsid w:val="007E00D3"/>
    <w:rsid w:val="007E27FD"/>
    <w:rsid w:val="007E37B8"/>
    <w:rsid w:val="007E381F"/>
    <w:rsid w:val="007E556E"/>
    <w:rsid w:val="007E568E"/>
    <w:rsid w:val="007E6071"/>
    <w:rsid w:val="007E6455"/>
    <w:rsid w:val="007E6656"/>
    <w:rsid w:val="007E6992"/>
    <w:rsid w:val="007E6B1A"/>
    <w:rsid w:val="007E6ED8"/>
    <w:rsid w:val="007E6F62"/>
    <w:rsid w:val="007E735B"/>
    <w:rsid w:val="007E7722"/>
    <w:rsid w:val="007E7C7E"/>
    <w:rsid w:val="007E7CEF"/>
    <w:rsid w:val="007E7F16"/>
    <w:rsid w:val="007E7F2F"/>
    <w:rsid w:val="007F013E"/>
    <w:rsid w:val="007F0158"/>
    <w:rsid w:val="007F01E8"/>
    <w:rsid w:val="007F079B"/>
    <w:rsid w:val="007F0A7D"/>
    <w:rsid w:val="007F1DF4"/>
    <w:rsid w:val="007F2D02"/>
    <w:rsid w:val="007F2FB3"/>
    <w:rsid w:val="007F3336"/>
    <w:rsid w:val="007F3B54"/>
    <w:rsid w:val="007F415D"/>
    <w:rsid w:val="007F4549"/>
    <w:rsid w:val="007F474E"/>
    <w:rsid w:val="007F57C6"/>
    <w:rsid w:val="007F5BD1"/>
    <w:rsid w:val="007F6708"/>
    <w:rsid w:val="007F67AE"/>
    <w:rsid w:val="007F6D34"/>
    <w:rsid w:val="007F749D"/>
    <w:rsid w:val="007F7815"/>
    <w:rsid w:val="0080138B"/>
    <w:rsid w:val="0080207B"/>
    <w:rsid w:val="00802265"/>
    <w:rsid w:val="00802523"/>
    <w:rsid w:val="00803E02"/>
    <w:rsid w:val="008043C1"/>
    <w:rsid w:val="008045BB"/>
    <w:rsid w:val="00804CE0"/>
    <w:rsid w:val="00804E1C"/>
    <w:rsid w:val="00805843"/>
    <w:rsid w:val="0080599F"/>
    <w:rsid w:val="00805F6E"/>
    <w:rsid w:val="00807290"/>
    <w:rsid w:val="0080778D"/>
    <w:rsid w:val="00810B65"/>
    <w:rsid w:val="00810ECD"/>
    <w:rsid w:val="008112C1"/>
    <w:rsid w:val="0081166F"/>
    <w:rsid w:val="00811E36"/>
    <w:rsid w:val="00812A2F"/>
    <w:rsid w:val="00812A90"/>
    <w:rsid w:val="0081304B"/>
    <w:rsid w:val="00821D5F"/>
    <w:rsid w:val="00822D7B"/>
    <w:rsid w:val="008241F3"/>
    <w:rsid w:val="00824B45"/>
    <w:rsid w:val="00826BA9"/>
    <w:rsid w:val="0082724F"/>
    <w:rsid w:val="008274BA"/>
    <w:rsid w:val="008314DD"/>
    <w:rsid w:val="00831EFA"/>
    <w:rsid w:val="00832270"/>
    <w:rsid w:val="00832FC6"/>
    <w:rsid w:val="008334C2"/>
    <w:rsid w:val="00834959"/>
    <w:rsid w:val="00835746"/>
    <w:rsid w:val="00837A49"/>
    <w:rsid w:val="0084009C"/>
    <w:rsid w:val="0084226A"/>
    <w:rsid w:val="00842289"/>
    <w:rsid w:val="00843AF3"/>
    <w:rsid w:val="00843AFD"/>
    <w:rsid w:val="008447F5"/>
    <w:rsid w:val="008454F0"/>
    <w:rsid w:val="00845887"/>
    <w:rsid w:val="008463BB"/>
    <w:rsid w:val="00846A58"/>
    <w:rsid w:val="00846BA0"/>
    <w:rsid w:val="00846DC0"/>
    <w:rsid w:val="00847CA7"/>
    <w:rsid w:val="0085055A"/>
    <w:rsid w:val="008527CB"/>
    <w:rsid w:val="0085322B"/>
    <w:rsid w:val="008539BF"/>
    <w:rsid w:val="00853EB9"/>
    <w:rsid w:val="00855366"/>
    <w:rsid w:val="008560F3"/>
    <w:rsid w:val="008561B5"/>
    <w:rsid w:val="00857103"/>
    <w:rsid w:val="00857133"/>
    <w:rsid w:val="0086014A"/>
    <w:rsid w:val="00861387"/>
    <w:rsid w:val="00862339"/>
    <w:rsid w:val="00862C18"/>
    <w:rsid w:val="00863265"/>
    <w:rsid w:val="00864C31"/>
    <w:rsid w:val="00865088"/>
    <w:rsid w:val="008652A8"/>
    <w:rsid w:val="00866D16"/>
    <w:rsid w:val="008705F3"/>
    <w:rsid w:val="00870894"/>
    <w:rsid w:val="00871471"/>
    <w:rsid w:val="0087265C"/>
    <w:rsid w:val="008726EF"/>
    <w:rsid w:val="00872B61"/>
    <w:rsid w:val="008744C5"/>
    <w:rsid w:val="008748C8"/>
    <w:rsid w:val="00874AA7"/>
    <w:rsid w:val="00875229"/>
    <w:rsid w:val="00876342"/>
    <w:rsid w:val="0087656C"/>
    <w:rsid w:val="0087683E"/>
    <w:rsid w:val="008778C3"/>
    <w:rsid w:val="00877D77"/>
    <w:rsid w:val="008815E1"/>
    <w:rsid w:val="0088267A"/>
    <w:rsid w:val="0088307E"/>
    <w:rsid w:val="00883839"/>
    <w:rsid w:val="008863EB"/>
    <w:rsid w:val="00886DE3"/>
    <w:rsid w:val="008900FD"/>
    <w:rsid w:val="0089043E"/>
    <w:rsid w:val="00891C1B"/>
    <w:rsid w:val="008922D3"/>
    <w:rsid w:val="00892698"/>
    <w:rsid w:val="008940F7"/>
    <w:rsid w:val="00894461"/>
    <w:rsid w:val="008947F2"/>
    <w:rsid w:val="00897183"/>
    <w:rsid w:val="008974DE"/>
    <w:rsid w:val="0089753F"/>
    <w:rsid w:val="008A010C"/>
    <w:rsid w:val="008A022E"/>
    <w:rsid w:val="008A0771"/>
    <w:rsid w:val="008A18B2"/>
    <w:rsid w:val="008A28C1"/>
    <w:rsid w:val="008A34DB"/>
    <w:rsid w:val="008A35D7"/>
    <w:rsid w:val="008A405F"/>
    <w:rsid w:val="008A499A"/>
    <w:rsid w:val="008A5CD2"/>
    <w:rsid w:val="008A6130"/>
    <w:rsid w:val="008A650B"/>
    <w:rsid w:val="008A6CA5"/>
    <w:rsid w:val="008B07C1"/>
    <w:rsid w:val="008B0BAD"/>
    <w:rsid w:val="008B4554"/>
    <w:rsid w:val="008B5C65"/>
    <w:rsid w:val="008B647C"/>
    <w:rsid w:val="008B6764"/>
    <w:rsid w:val="008B6D2E"/>
    <w:rsid w:val="008B6D30"/>
    <w:rsid w:val="008B71AF"/>
    <w:rsid w:val="008B7895"/>
    <w:rsid w:val="008C051B"/>
    <w:rsid w:val="008C1193"/>
    <w:rsid w:val="008C119E"/>
    <w:rsid w:val="008C11EE"/>
    <w:rsid w:val="008C180E"/>
    <w:rsid w:val="008C2492"/>
    <w:rsid w:val="008C2578"/>
    <w:rsid w:val="008C28A4"/>
    <w:rsid w:val="008C2AD3"/>
    <w:rsid w:val="008C3470"/>
    <w:rsid w:val="008C3B2B"/>
    <w:rsid w:val="008C5560"/>
    <w:rsid w:val="008C7AE5"/>
    <w:rsid w:val="008D0036"/>
    <w:rsid w:val="008D0294"/>
    <w:rsid w:val="008D0D99"/>
    <w:rsid w:val="008D123A"/>
    <w:rsid w:val="008D3DAD"/>
    <w:rsid w:val="008D433F"/>
    <w:rsid w:val="008D46B6"/>
    <w:rsid w:val="008D4AED"/>
    <w:rsid w:val="008D4B82"/>
    <w:rsid w:val="008D5401"/>
    <w:rsid w:val="008D6F8C"/>
    <w:rsid w:val="008D7225"/>
    <w:rsid w:val="008E04C9"/>
    <w:rsid w:val="008E0C53"/>
    <w:rsid w:val="008E10A8"/>
    <w:rsid w:val="008E1654"/>
    <w:rsid w:val="008E215B"/>
    <w:rsid w:val="008E2958"/>
    <w:rsid w:val="008E29C6"/>
    <w:rsid w:val="008E2D04"/>
    <w:rsid w:val="008E3209"/>
    <w:rsid w:val="008E4D86"/>
    <w:rsid w:val="008E567E"/>
    <w:rsid w:val="008E75FA"/>
    <w:rsid w:val="008F0695"/>
    <w:rsid w:val="008F09BF"/>
    <w:rsid w:val="008F4F41"/>
    <w:rsid w:val="008F5B63"/>
    <w:rsid w:val="008F6014"/>
    <w:rsid w:val="008F61B1"/>
    <w:rsid w:val="008F67FF"/>
    <w:rsid w:val="008F74E2"/>
    <w:rsid w:val="008F767D"/>
    <w:rsid w:val="008F7952"/>
    <w:rsid w:val="009023CF"/>
    <w:rsid w:val="00903AB8"/>
    <w:rsid w:val="00904953"/>
    <w:rsid w:val="00906BA9"/>
    <w:rsid w:val="00907078"/>
    <w:rsid w:val="00907818"/>
    <w:rsid w:val="0091028E"/>
    <w:rsid w:val="00910BB8"/>
    <w:rsid w:val="00910BD5"/>
    <w:rsid w:val="0091149E"/>
    <w:rsid w:val="00912D67"/>
    <w:rsid w:val="00913D19"/>
    <w:rsid w:val="0091403C"/>
    <w:rsid w:val="00914E04"/>
    <w:rsid w:val="00914E97"/>
    <w:rsid w:val="00915E73"/>
    <w:rsid w:val="0091651F"/>
    <w:rsid w:val="0091685B"/>
    <w:rsid w:val="00916B94"/>
    <w:rsid w:val="00916C21"/>
    <w:rsid w:val="00917A23"/>
    <w:rsid w:val="00917DEA"/>
    <w:rsid w:val="009206D4"/>
    <w:rsid w:val="009208AF"/>
    <w:rsid w:val="00920C72"/>
    <w:rsid w:val="0092390C"/>
    <w:rsid w:val="00923938"/>
    <w:rsid w:val="00923B80"/>
    <w:rsid w:val="00924419"/>
    <w:rsid w:val="00924820"/>
    <w:rsid w:val="00924F90"/>
    <w:rsid w:val="00925A1B"/>
    <w:rsid w:val="00925B33"/>
    <w:rsid w:val="00925EDA"/>
    <w:rsid w:val="0092607C"/>
    <w:rsid w:val="0092692B"/>
    <w:rsid w:val="00926ACC"/>
    <w:rsid w:val="00927481"/>
    <w:rsid w:val="00927BA1"/>
    <w:rsid w:val="00927CC5"/>
    <w:rsid w:val="009304F4"/>
    <w:rsid w:val="009305C5"/>
    <w:rsid w:val="009307B3"/>
    <w:rsid w:val="00930FA7"/>
    <w:rsid w:val="0093122C"/>
    <w:rsid w:val="00931A27"/>
    <w:rsid w:val="00932796"/>
    <w:rsid w:val="00932BB0"/>
    <w:rsid w:val="00932DED"/>
    <w:rsid w:val="0093309F"/>
    <w:rsid w:val="00933357"/>
    <w:rsid w:val="0093356A"/>
    <w:rsid w:val="009347AD"/>
    <w:rsid w:val="0093493F"/>
    <w:rsid w:val="00934D0D"/>
    <w:rsid w:val="009361A2"/>
    <w:rsid w:val="0093646D"/>
    <w:rsid w:val="00936819"/>
    <w:rsid w:val="00936D8C"/>
    <w:rsid w:val="00936DAA"/>
    <w:rsid w:val="009374D6"/>
    <w:rsid w:val="009376CD"/>
    <w:rsid w:val="0093780C"/>
    <w:rsid w:val="009379A7"/>
    <w:rsid w:val="00937C4F"/>
    <w:rsid w:val="00940134"/>
    <w:rsid w:val="0094135B"/>
    <w:rsid w:val="00941A1E"/>
    <w:rsid w:val="00941DA4"/>
    <w:rsid w:val="00941E10"/>
    <w:rsid w:val="009429C7"/>
    <w:rsid w:val="009433C0"/>
    <w:rsid w:val="00944130"/>
    <w:rsid w:val="0095009F"/>
    <w:rsid w:val="00950E19"/>
    <w:rsid w:val="00951D4A"/>
    <w:rsid w:val="00951FF3"/>
    <w:rsid w:val="0095200B"/>
    <w:rsid w:val="009534A2"/>
    <w:rsid w:val="0095373D"/>
    <w:rsid w:val="009539EF"/>
    <w:rsid w:val="00954932"/>
    <w:rsid w:val="00956979"/>
    <w:rsid w:val="009601F8"/>
    <w:rsid w:val="00961BC2"/>
    <w:rsid w:val="009627CE"/>
    <w:rsid w:val="009630DC"/>
    <w:rsid w:val="009667B7"/>
    <w:rsid w:val="00966811"/>
    <w:rsid w:val="009668F6"/>
    <w:rsid w:val="00966B9D"/>
    <w:rsid w:val="00966F25"/>
    <w:rsid w:val="00967F65"/>
    <w:rsid w:val="00971AA6"/>
    <w:rsid w:val="00973EB0"/>
    <w:rsid w:val="00973FCA"/>
    <w:rsid w:val="009746E2"/>
    <w:rsid w:val="00975DDF"/>
    <w:rsid w:val="00975F29"/>
    <w:rsid w:val="009760A8"/>
    <w:rsid w:val="0097655A"/>
    <w:rsid w:val="00976EC0"/>
    <w:rsid w:val="00977334"/>
    <w:rsid w:val="0097736B"/>
    <w:rsid w:val="00977A03"/>
    <w:rsid w:val="00980862"/>
    <w:rsid w:val="009820BB"/>
    <w:rsid w:val="009823AA"/>
    <w:rsid w:val="009824E3"/>
    <w:rsid w:val="00982519"/>
    <w:rsid w:val="00982A88"/>
    <w:rsid w:val="00982D45"/>
    <w:rsid w:val="00982F1B"/>
    <w:rsid w:val="00985BEF"/>
    <w:rsid w:val="0098645D"/>
    <w:rsid w:val="00987A7F"/>
    <w:rsid w:val="0099035D"/>
    <w:rsid w:val="009904C8"/>
    <w:rsid w:val="009904D7"/>
    <w:rsid w:val="00991D44"/>
    <w:rsid w:val="0099241D"/>
    <w:rsid w:val="00992C4C"/>
    <w:rsid w:val="00992D4E"/>
    <w:rsid w:val="0099324B"/>
    <w:rsid w:val="00993277"/>
    <w:rsid w:val="00993B6E"/>
    <w:rsid w:val="00994007"/>
    <w:rsid w:val="00996D67"/>
    <w:rsid w:val="00997B09"/>
    <w:rsid w:val="00997DEE"/>
    <w:rsid w:val="009A014B"/>
    <w:rsid w:val="009A0540"/>
    <w:rsid w:val="009A072D"/>
    <w:rsid w:val="009A0990"/>
    <w:rsid w:val="009A0D24"/>
    <w:rsid w:val="009A4524"/>
    <w:rsid w:val="009A51AE"/>
    <w:rsid w:val="009A6162"/>
    <w:rsid w:val="009A793C"/>
    <w:rsid w:val="009A7AC5"/>
    <w:rsid w:val="009A7B87"/>
    <w:rsid w:val="009B0047"/>
    <w:rsid w:val="009B0082"/>
    <w:rsid w:val="009B07D5"/>
    <w:rsid w:val="009B0D64"/>
    <w:rsid w:val="009B1ACF"/>
    <w:rsid w:val="009B1EB3"/>
    <w:rsid w:val="009B2EE9"/>
    <w:rsid w:val="009B3C90"/>
    <w:rsid w:val="009B3D6A"/>
    <w:rsid w:val="009B4329"/>
    <w:rsid w:val="009B449D"/>
    <w:rsid w:val="009B46E3"/>
    <w:rsid w:val="009B4B4D"/>
    <w:rsid w:val="009B58E1"/>
    <w:rsid w:val="009B6938"/>
    <w:rsid w:val="009C047C"/>
    <w:rsid w:val="009C14A7"/>
    <w:rsid w:val="009C167A"/>
    <w:rsid w:val="009C2996"/>
    <w:rsid w:val="009C370B"/>
    <w:rsid w:val="009C3F2F"/>
    <w:rsid w:val="009C4CFB"/>
    <w:rsid w:val="009C70EE"/>
    <w:rsid w:val="009C7586"/>
    <w:rsid w:val="009C7D9F"/>
    <w:rsid w:val="009D0014"/>
    <w:rsid w:val="009D11E3"/>
    <w:rsid w:val="009D20BA"/>
    <w:rsid w:val="009D2A43"/>
    <w:rsid w:val="009D33F3"/>
    <w:rsid w:val="009D3692"/>
    <w:rsid w:val="009D51CA"/>
    <w:rsid w:val="009D5D77"/>
    <w:rsid w:val="009D646B"/>
    <w:rsid w:val="009D794C"/>
    <w:rsid w:val="009E04E9"/>
    <w:rsid w:val="009E06DB"/>
    <w:rsid w:val="009E0C1C"/>
    <w:rsid w:val="009E283B"/>
    <w:rsid w:val="009E316D"/>
    <w:rsid w:val="009E36D6"/>
    <w:rsid w:val="009E3860"/>
    <w:rsid w:val="009E3CD9"/>
    <w:rsid w:val="009E45B8"/>
    <w:rsid w:val="009E51F6"/>
    <w:rsid w:val="009E59E2"/>
    <w:rsid w:val="009E7919"/>
    <w:rsid w:val="009F0323"/>
    <w:rsid w:val="009F09B7"/>
    <w:rsid w:val="009F1030"/>
    <w:rsid w:val="009F1C65"/>
    <w:rsid w:val="009F1E2B"/>
    <w:rsid w:val="009F2B71"/>
    <w:rsid w:val="009F2C2A"/>
    <w:rsid w:val="009F3218"/>
    <w:rsid w:val="009F3630"/>
    <w:rsid w:val="009F5482"/>
    <w:rsid w:val="009F55DE"/>
    <w:rsid w:val="009F5A19"/>
    <w:rsid w:val="009F5D4A"/>
    <w:rsid w:val="009F604C"/>
    <w:rsid w:val="009F628E"/>
    <w:rsid w:val="009F76E3"/>
    <w:rsid w:val="009F7B46"/>
    <w:rsid w:val="009F7D28"/>
    <w:rsid w:val="009F7DC9"/>
    <w:rsid w:val="009F7F9A"/>
    <w:rsid w:val="009F7FCB"/>
    <w:rsid w:val="00A0109E"/>
    <w:rsid w:val="00A0120E"/>
    <w:rsid w:val="00A035A5"/>
    <w:rsid w:val="00A04B6E"/>
    <w:rsid w:val="00A04CCA"/>
    <w:rsid w:val="00A04E7B"/>
    <w:rsid w:val="00A05313"/>
    <w:rsid w:val="00A05845"/>
    <w:rsid w:val="00A05932"/>
    <w:rsid w:val="00A10050"/>
    <w:rsid w:val="00A12251"/>
    <w:rsid w:val="00A12913"/>
    <w:rsid w:val="00A129F8"/>
    <w:rsid w:val="00A13E60"/>
    <w:rsid w:val="00A14BA0"/>
    <w:rsid w:val="00A14D4B"/>
    <w:rsid w:val="00A15AC7"/>
    <w:rsid w:val="00A16576"/>
    <w:rsid w:val="00A2004F"/>
    <w:rsid w:val="00A216BE"/>
    <w:rsid w:val="00A21E0A"/>
    <w:rsid w:val="00A229B7"/>
    <w:rsid w:val="00A22FD4"/>
    <w:rsid w:val="00A246C4"/>
    <w:rsid w:val="00A25594"/>
    <w:rsid w:val="00A255E2"/>
    <w:rsid w:val="00A2674E"/>
    <w:rsid w:val="00A2711B"/>
    <w:rsid w:val="00A30B20"/>
    <w:rsid w:val="00A30CD6"/>
    <w:rsid w:val="00A31174"/>
    <w:rsid w:val="00A318C7"/>
    <w:rsid w:val="00A3198C"/>
    <w:rsid w:val="00A32896"/>
    <w:rsid w:val="00A3395F"/>
    <w:rsid w:val="00A3437C"/>
    <w:rsid w:val="00A355EF"/>
    <w:rsid w:val="00A3565D"/>
    <w:rsid w:val="00A35F51"/>
    <w:rsid w:val="00A36C10"/>
    <w:rsid w:val="00A3719C"/>
    <w:rsid w:val="00A40240"/>
    <w:rsid w:val="00A406CA"/>
    <w:rsid w:val="00A40E19"/>
    <w:rsid w:val="00A41003"/>
    <w:rsid w:val="00A4132D"/>
    <w:rsid w:val="00A415DD"/>
    <w:rsid w:val="00A4324A"/>
    <w:rsid w:val="00A439FB"/>
    <w:rsid w:val="00A44085"/>
    <w:rsid w:val="00A448BA"/>
    <w:rsid w:val="00A4556A"/>
    <w:rsid w:val="00A45797"/>
    <w:rsid w:val="00A46AEA"/>
    <w:rsid w:val="00A473DA"/>
    <w:rsid w:val="00A47491"/>
    <w:rsid w:val="00A47BCC"/>
    <w:rsid w:val="00A5049E"/>
    <w:rsid w:val="00A50607"/>
    <w:rsid w:val="00A506FB"/>
    <w:rsid w:val="00A50ED4"/>
    <w:rsid w:val="00A51A3F"/>
    <w:rsid w:val="00A53C2A"/>
    <w:rsid w:val="00A53F55"/>
    <w:rsid w:val="00A546B0"/>
    <w:rsid w:val="00A5557D"/>
    <w:rsid w:val="00A572EB"/>
    <w:rsid w:val="00A60CA0"/>
    <w:rsid w:val="00A61E96"/>
    <w:rsid w:val="00A6379E"/>
    <w:rsid w:val="00A6498B"/>
    <w:rsid w:val="00A65BDC"/>
    <w:rsid w:val="00A664B4"/>
    <w:rsid w:val="00A66F26"/>
    <w:rsid w:val="00A6731F"/>
    <w:rsid w:val="00A7038C"/>
    <w:rsid w:val="00A706A8"/>
    <w:rsid w:val="00A71134"/>
    <w:rsid w:val="00A71206"/>
    <w:rsid w:val="00A71623"/>
    <w:rsid w:val="00A71806"/>
    <w:rsid w:val="00A71A06"/>
    <w:rsid w:val="00A71A81"/>
    <w:rsid w:val="00A71B4A"/>
    <w:rsid w:val="00A7228F"/>
    <w:rsid w:val="00A7274E"/>
    <w:rsid w:val="00A735FE"/>
    <w:rsid w:val="00A7398B"/>
    <w:rsid w:val="00A7453E"/>
    <w:rsid w:val="00A74B88"/>
    <w:rsid w:val="00A75841"/>
    <w:rsid w:val="00A764BA"/>
    <w:rsid w:val="00A76D68"/>
    <w:rsid w:val="00A776EB"/>
    <w:rsid w:val="00A77B58"/>
    <w:rsid w:val="00A77F5D"/>
    <w:rsid w:val="00A80296"/>
    <w:rsid w:val="00A815E0"/>
    <w:rsid w:val="00A81C44"/>
    <w:rsid w:val="00A82234"/>
    <w:rsid w:val="00A825D9"/>
    <w:rsid w:val="00A8299A"/>
    <w:rsid w:val="00A82B3C"/>
    <w:rsid w:val="00A83393"/>
    <w:rsid w:val="00A83F48"/>
    <w:rsid w:val="00A84734"/>
    <w:rsid w:val="00A84852"/>
    <w:rsid w:val="00A86209"/>
    <w:rsid w:val="00A8668D"/>
    <w:rsid w:val="00A86709"/>
    <w:rsid w:val="00A86DA0"/>
    <w:rsid w:val="00A8754E"/>
    <w:rsid w:val="00A9087E"/>
    <w:rsid w:val="00A90C8A"/>
    <w:rsid w:val="00A90DDC"/>
    <w:rsid w:val="00A91141"/>
    <w:rsid w:val="00A92962"/>
    <w:rsid w:val="00A93901"/>
    <w:rsid w:val="00A93D6F"/>
    <w:rsid w:val="00A95129"/>
    <w:rsid w:val="00A952FF"/>
    <w:rsid w:val="00A95AC8"/>
    <w:rsid w:val="00AA0375"/>
    <w:rsid w:val="00AA1213"/>
    <w:rsid w:val="00AA1B96"/>
    <w:rsid w:val="00AA2994"/>
    <w:rsid w:val="00AA2DD3"/>
    <w:rsid w:val="00AA496B"/>
    <w:rsid w:val="00AA4C10"/>
    <w:rsid w:val="00AA59BE"/>
    <w:rsid w:val="00AB0259"/>
    <w:rsid w:val="00AB11EB"/>
    <w:rsid w:val="00AB1646"/>
    <w:rsid w:val="00AB1692"/>
    <w:rsid w:val="00AB177E"/>
    <w:rsid w:val="00AB1D77"/>
    <w:rsid w:val="00AB219F"/>
    <w:rsid w:val="00AB2245"/>
    <w:rsid w:val="00AB3499"/>
    <w:rsid w:val="00AB415C"/>
    <w:rsid w:val="00AB46C4"/>
    <w:rsid w:val="00AB4977"/>
    <w:rsid w:val="00AB5544"/>
    <w:rsid w:val="00AB7D85"/>
    <w:rsid w:val="00AC1603"/>
    <w:rsid w:val="00AC1BCE"/>
    <w:rsid w:val="00AC1D76"/>
    <w:rsid w:val="00AC23AA"/>
    <w:rsid w:val="00AC3A64"/>
    <w:rsid w:val="00AC498F"/>
    <w:rsid w:val="00AC5538"/>
    <w:rsid w:val="00AC60DD"/>
    <w:rsid w:val="00AC6930"/>
    <w:rsid w:val="00AD0896"/>
    <w:rsid w:val="00AD2074"/>
    <w:rsid w:val="00AD24B5"/>
    <w:rsid w:val="00AD28FD"/>
    <w:rsid w:val="00AD31F2"/>
    <w:rsid w:val="00AD39D2"/>
    <w:rsid w:val="00AD3CBE"/>
    <w:rsid w:val="00AD40CA"/>
    <w:rsid w:val="00AD4441"/>
    <w:rsid w:val="00AD5A30"/>
    <w:rsid w:val="00AD6169"/>
    <w:rsid w:val="00AD6183"/>
    <w:rsid w:val="00AD742E"/>
    <w:rsid w:val="00AE0706"/>
    <w:rsid w:val="00AE2DD9"/>
    <w:rsid w:val="00AE2E2A"/>
    <w:rsid w:val="00AE3DAF"/>
    <w:rsid w:val="00AE3E6C"/>
    <w:rsid w:val="00AE4117"/>
    <w:rsid w:val="00AE58F7"/>
    <w:rsid w:val="00AE6176"/>
    <w:rsid w:val="00AE62D8"/>
    <w:rsid w:val="00AE691C"/>
    <w:rsid w:val="00AE6A79"/>
    <w:rsid w:val="00AE78D4"/>
    <w:rsid w:val="00AE7FA5"/>
    <w:rsid w:val="00AF03B8"/>
    <w:rsid w:val="00AF05EF"/>
    <w:rsid w:val="00AF0858"/>
    <w:rsid w:val="00AF1D9D"/>
    <w:rsid w:val="00AF2C3E"/>
    <w:rsid w:val="00AF367E"/>
    <w:rsid w:val="00AF405F"/>
    <w:rsid w:val="00AF4500"/>
    <w:rsid w:val="00AF5606"/>
    <w:rsid w:val="00AF587F"/>
    <w:rsid w:val="00AF610F"/>
    <w:rsid w:val="00AF74BF"/>
    <w:rsid w:val="00AF758E"/>
    <w:rsid w:val="00B019CB"/>
    <w:rsid w:val="00B01F98"/>
    <w:rsid w:val="00B02C2A"/>
    <w:rsid w:val="00B0336C"/>
    <w:rsid w:val="00B03BA6"/>
    <w:rsid w:val="00B05D29"/>
    <w:rsid w:val="00B060EE"/>
    <w:rsid w:val="00B10071"/>
    <w:rsid w:val="00B102D1"/>
    <w:rsid w:val="00B10524"/>
    <w:rsid w:val="00B10560"/>
    <w:rsid w:val="00B10A26"/>
    <w:rsid w:val="00B10D58"/>
    <w:rsid w:val="00B117A9"/>
    <w:rsid w:val="00B1200D"/>
    <w:rsid w:val="00B127A1"/>
    <w:rsid w:val="00B1311B"/>
    <w:rsid w:val="00B132FD"/>
    <w:rsid w:val="00B1460B"/>
    <w:rsid w:val="00B1487F"/>
    <w:rsid w:val="00B149A3"/>
    <w:rsid w:val="00B14B16"/>
    <w:rsid w:val="00B14D7C"/>
    <w:rsid w:val="00B156BA"/>
    <w:rsid w:val="00B168D7"/>
    <w:rsid w:val="00B16B54"/>
    <w:rsid w:val="00B17C0C"/>
    <w:rsid w:val="00B2026E"/>
    <w:rsid w:val="00B20284"/>
    <w:rsid w:val="00B20351"/>
    <w:rsid w:val="00B20C80"/>
    <w:rsid w:val="00B20F66"/>
    <w:rsid w:val="00B2101F"/>
    <w:rsid w:val="00B2190D"/>
    <w:rsid w:val="00B224B3"/>
    <w:rsid w:val="00B23AF1"/>
    <w:rsid w:val="00B241DA"/>
    <w:rsid w:val="00B24CFF"/>
    <w:rsid w:val="00B25B1D"/>
    <w:rsid w:val="00B26ED5"/>
    <w:rsid w:val="00B27335"/>
    <w:rsid w:val="00B2779E"/>
    <w:rsid w:val="00B30DA9"/>
    <w:rsid w:val="00B3171A"/>
    <w:rsid w:val="00B31ABF"/>
    <w:rsid w:val="00B31D3C"/>
    <w:rsid w:val="00B321C1"/>
    <w:rsid w:val="00B3307D"/>
    <w:rsid w:val="00B33588"/>
    <w:rsid w:val="00B33A78"/>
    <w:rsid w:val="00B34AEF"/>
    <w:rsid w:val="00B351C1"/>
    <w:rsid w:val="00B359CF"/>
    <w:rsid w:val="00B35FC7"/>
    <w:rsid w:val="00B364CE"/>
    <w:rsid w:val="00B368D9"/>
    <w:rsid w:val="00B36EF4"/>
    <w:rsid w:val="00B36F48"/>
    <w:rsid w:val="00B378B4"/>
    <w:rsid w:val="00B37B1D"/>
    <w:rsid w:val="00B402DE"/>
    <w:rsid w:val="00B40D3F"/>
    <w:rsid w:val="00B422EA"/>
    <w:rsid w:val="00B42860"/>
    <w:rsid w:val="00B42B6E"/>
    <w:rsid w:val="00B43A6D"/>
    <w:rsid w:val="00B43D09"/>
    <w:rsid w:val="00B44437"/>
    <w:rsid w:val="00B4509C"/>
    <w:rsid w:val="00B45117"/>
    <w:rsid w:val="00B45B39"/>
    <w:rsid w:val="00B4660B"/>
    <w:rsid w:val="00B46B9A"/>
    <w:rsid w:val="00B501CF"/>
    <w:rsid w:val="00B50288"/>
    <w:rsid w:val="00B50A70"/>
    <w:rsid w:val="00B51861"/>
    <w:rsid w:val="00B51C0C"/>
    <w:rsid w:val="00B52C10"/>
    <w:rsid w:val="00B54640"/>
    <w:rsid w:val="00B54BD6"/>
    <w:rsid w:val="00B54D23"/>
    <w:rsid w:val="00B54F94"/>
    <w:rsid w:val="00B55DEE"/>
    <w:rsid w:val="00B565AE"/>
    <w:rsid w:val="00B57017"/>
    <w:rsid w:val="00B57039"/>
    <w:rsid w:val="00B570AA"/>
    <w:rsid w:val="00B57155"/>
    <w:rsid w:val="00B57775"/>
    <w:rsid w:val="00B602AA"/>
    <w:rsid w:val="00B60797"/>
    <w:rsid w:val="00B608EC"/>
    <w:rsid w:val="00B615A2"/>
    <w:rsid w:val="00B617C2"/>
    <w:rsid w:val="00B61DC3"/>
    <w:rsid w:val="00B62070"/>
    <w:rsid w:val="00B62A3A"/>
    <w:rsid w:val="00B62EA7"/>
    <w:rsid w:val="00B63D46"/>
    <w:rsid w:val="00B651BC"/>
    <w:rsid w:val="00B6591E"/>
    <w:rsid w:val="00B65B88"/>
    <w:rsid w:val="00B65DC6"/>
    <w:rsid w:val="00B65FAD"/>
    <w:rsid w:val="00B673CC"/>
    <w:rsid w:val="00B7103B"/>
    <w:rsid w:val="00B7178E"/>
    <w:rsid w:val="00B72CFD"/>
    <w:rsid w:val="00B737FE"/>
    <w:rsid w:val="00B73AB6"/>
    <w:rsid w:val="00B74686"/>
    <w:rsid w:val="00B767AA"/>
    <w:rsid w:val="00B76F24"/>
    <w:rsid w:val="00B802F8"/>
    <w:rsid w:val="00B80A92"/>
    <w:rsid w:val="00B82734"/>
    <w:rsid w:val="00B82FF9"/>
    <w:rsid w:val="00B832A1"/>
    <w:rsid w:val="00B83CD5"/>
    <w:rsid w:val="00B83D23"/>
    <w:rsid w:val="00B8451B"/>
    <w:rsid w:val="00B84964"/>
    <w:rsid w:val="00B85676"/>
    <w:rsid w:val="00B85896"/>
    <w:rsid w:val="00B8635D"/>
    <w:rsid w:val="00B90D14"/>
    <w:rsid w:val="00B92478"/>
    <w:rsid w:val="00B9337F"/>
    <w:rsid w:val="00B93A62"/>
    <w:rsid w:val="00B94249"/>
    <w:rsid w:val="00B94653"/>
    <w:rsid w:val="00B94CE2"/>
    <w:rsid w:val="00BA0783"/>
    <w:rsid w:val="00BA0B99"/>
    <w:rsid w:val="00BA1E6F"/>
    <w:rsid w:val="00BA2EE4"/>
    <w:rsid w:val="00BA32B4"/>
    <w:rsid w:val="00BA3F7E"/>
    <w:rsid w:val="00BA4B75"/>
    <w:rsid w:val="00BA53C3"/>
    <w:rsid w:val="00BA5EA6"/>
    <w:rsid w:val="00BA60DC"/>
    <w:rsid w:val="00BA60FE"/>
    <w:rsid w:val="00BA65AC"/>
    <w:rsid w:val="00BA6D16"/>
    <w:rsid w:val="00BB272F"/>
    <w:rsid w:val="00BB29F6"/>
    <w:rsid w:val="00BB30F0"/>
    <w:rsid w:val="00BB37A8"/>
    <w:rsid w:val="00BB3854"/>
    <w:rsid w:val="00BB3A85"/>
    <w:rsid w:val="00BB4531"/>
    <w:rsid w:val="00BB45EB"/>
    <w:rsid w:val="00BB46C4"/>
    <w:rsid w:val="00BB54E0"/>
    <w:rsid w:val="00BB5D57"/>
    <w:rsid w:val="00BB6862"/>
    <w:rsid w:val="00BB69A7"/>
    <w:rsid w:val="00BB6B5E"/>
    <w:rsid w:val="00BB708D"/>
    <w:rsid w:val="00BB7DD5"/>
    <w:rsid w:val="00BC0AC9"/>
    <w:rsid w:val="00BC14A9"/>
    <w:rsid w:val="00BC16E5"/>
    <w:rsid w:val="00BC1C6B"/>
    <w:rsid w:val="00BC2B21"/>
    <w:rsid w:val="00BC39A5"/>
    <w:rsid w:val="00BC56A8"/>
    <w:rsid w:val="00BC628E"/>
    <w:rsid w:val="00BC6B7C"/>
    <w:rsid w:val="00BC7677"/>
    <w:rsid w:val="00BC76AF"/>
    <w:rsid w:val="00BC7BB9"/>
    <w:rsid w:val="00BC7C6D"/>
    <w:rsid w:val="00BD03A2"/>
    <w:rsid w:val="00BD046B"/>
    <w:rsid w:val="00BD0E31"/>
    <w:rsid w:val="00BD0FD5"/>
    <w:rsid w:val="00BD16D3"/>
    <w:rsid w:val="00BD20AF"/>
    <w:rsid w:val="00BD2CDE"/>
    <w:rsid w:val="00BD2CEF"/>
    <w:rsid w:val="00BD3546"/>
    <w:rsid w:val="00BD39BE"/>
    <w:rsid w:val="00BD3F7A"/>
    <w:rsid w:val="00BD48E4"/>
    <w:rsid w:val="00BD6C2C"/>
    <w:rsid w:val="00BD7A0B"/>
    <w:rsid w:val="00BD7B7E"/>
    <w:rsid w:val="00BE2107"/>
    <w:rsid w:val="00BE279E"/>
    <w:rsid w:val="00BE27CA"/>
    <w:rsid w:val="00BE3005"/>
    <w:rsid w:val="00BE34F3"/>
    <w:rsid w:val="00BE3786"/>
    <w:rsid w:val="00BE4922"/>
    <w:rsid w:val="00BE4CFA"/>
    <w:rsid w:val="00BE551F"/>
    <w:rsid w:val="00BE5AD5"/>
    <w:rsid w:val="00BE65C8"/>
    <w:rsid w:val="00BE67A7"/>
    <w:rsid w:val="00BE6E4E"/>
    <w:rsid w:val="00BE7B9A"/>
    <w:rsid w:val="00BE7DED"/>
    <w:rsid w:val="00BF0BFC"/>
    <w:rsid w:val="00BF0D05"/>
    <w:rsid w:val="00BF214C"/>
    <w:rsid w:val="00BF3714"/>
    <w:rsid w:val="00BF382B"/>
    <w:rsid w:val="00BF3BA3"/>
    <w:rsid w:val="00BF41E9"/>
    <w:rsid w:val="00BF45AD"/>
    <w:rsid w:val="00BF4BCA"/>
    <w:rsid w:val="00BF4BDC"/>
    <w:rsid w:val="00BF5118"/>
    <w:rsid w:val="00BF5228"/>
    <w:rsid w:val="00BF59DF"/>
    <w:rsid w:val="00BF68E0"/>
    <w:rsid w:val="00BF69A2"/>
    <w:rsid w:val="00BF6A6B"/>
    <w:rsid w:val="00BF6BD6"/>
    <w:rsid w:val="00C004CC"/>
    <w:rsid w:val="00C006A3"/>
    <w:rsid w:val="00C00A9E"/>
    <w:rsid w:val="00C03308"/>
    <w:rsid w:val="00C03C49"/>
    <w:rsid w:val="00C03D6D"/>
    <w:rsid w:val="00C04F7C"/>
    <w:rsid w:val="00C05A13"/>
    <w:rsid w:val="00C06276"/>
    <w:rsid w:val="00C06B9E"/>
    <w:rsid w:val="00C06D6A"/>
    <w:rsid w:val="00C07D29"/>
    <w:rsid w:val="00C108BC"/>
    <w:rsid w:val="00C10924"/>
    <w:rsid w:val="00C116D9"/>
    <w:rsid w:val="00C12447"/>
    <w:rsid w:val="00C124EC"/>
    <w:rsid w:val="00C128FE"/>
    <w:rsid w:val="00C12EDE"/>
    <w:rsid w:val="00C13408"/>
    <w:rsid w:val="00C134F3"/>
    <w:rsid w:val="00C147D1"/>
    <w:rsid w:val="00C157E9"/>
    <w:rsid w:val="00C15AD1"/>
    <w:rsid w:val="00C166EB"/>
    <w:rsid w:val="00C169BF"/>
    <w:rsid w:val="00C17209"/>
    <w:rsid w:val="00C17E72"/>
    <w:rsid w:val="00C2211B"/>
    <w:rsid w:val="00C2349D"/>
    <w:rsid w:val="00C2564C"/>
    <w:rsid w:val="00C25891"/>
    <w:rsid w:val="00C2590B"/>
    <w:rsid w:val="00C25AE9"/>
    <w:rsid w:val="00C26D51"/>
    <w:rsid w:val="00C27561"/>
    <w:rsid w:val="00C30536"/>
    <w:rsid w:val="00C31952"/>
    <w:rsid w:val="00C319D9"/>
    <w:rsid w:val="00C31FE6"/>
    <w:rsid w:val="00C32673"/>
    <w:rsid w:val="00C3268E"/>
    <w:rsid w:val="00C327FC"/>
    <w:rsid w:val="00C32D87"/>
    <w:rsid w:val="00C330AE"/>
    <w:rsid w:val="00C342EE"/>
    <w:rsid w:val="00C3450D"/>
    <w:rsid w:val="00C347D8"/>
    <w:rsid w:val="00C35268"/>
    <w:rsid w:val="00C355B1"/>
    <w:rsid w:val="00C3593E"/>
    <w:rsid w:val="00C35969"/>
    <w:rsid w:val="00C359EE"/>
    <w:rsid w:val="00C36754"/>
    <w:rsid w:val="00C36899"/>
    <w:rsid w:val="00C36E6C"/>
    <w:rsid w:val="00C3710A"/>
    <w:rsid w:val="00C3745C"/>
    <w:rsid w:val="00C37B9D"/>
    <w:rsid w:val="00C37BB7"/>
    <w:rsid w:val="00C37CC4"/>
    <w:rsid w:val="00C401DA"/>
    <w:rsid w:val="00C411DB"/>
    <w:rsid w:val="00C41F8B"/>
    <w:rsid w:val="00C4352B"/>
    <w:rsid w:val="00C43A43"/>
    <w:rsid w:val="00C43C38"/>
    <w:rsid w:val="00C44DAD"/>
    <w:rsid w:val="00C44E18"/>
    <w:rsid w:val="00C46F16"/>
    <w:rsid w:val="00C46F57"/>
    <w:rsid w:val="00C50364"/>
    <w:rsid w:val="00C504F3"/>
    <w:rsid w:val="00C51968"/>
    <w:rsid w:val="00C51EE1"/>
    <w:rsid w:val="00C52233"/>
    <w:rsid w:val="00C52BA3"/>
    <w:rsid w:val="00C5336F"/>
    <w:rsid w:val="00C53D03"/>
    <w:rsid w:val="00C53FC4"/>
    <w:rsid w:val="00C5423A"/>
    <w:rsid w:val="00C54560"/>
    <w:rsid w:val="00C546F6"/>
    <w:rsid w:val="00C546FD"/>
    <w:rsid w:val="00C54D4D"/>
    <w:rsid w:val="00C5530D"/>
    <w:rsid w:val="00C56F6A"/>
    <w:rsid w:val="00C572BF"/>
    <w:rsid w:val="00C57831"/>
    <w:rsid w:val="00C57ABE"/>
    <w:rsid w:val="00C60128"/>
    <w:rsid w:val="00C601A9"/>
    <w:rsid w:val="00C603E8"/>
    <w:rsid w:val="00C60E0F"/>
    <w:rsid w:val="00C6103E"/>
    <w:rsid w:val="00C628C6"/>
    <w:rsid w:val="00C62C59"/>
    <w:rsid w:val="00C63541"/>
    <w:rsid w:val="00C63EB5"/>
    <w:rsid w:val="00C649B9"/>
    <w:rsid w:val="00C6593B"/>
    <w:rsid w:val="00C659C4"/>
    <w:rsid w:val="00C6715A"/>
    <w:rsid w:val="00C67C57"/>
    <w:rsid w:val="00C702A9"/>
    <w:rsid w:val="00C70C37"/>
    <w:rsid w:val="00C729AB"/>
    <w:rsid w:val="00C742F0"/>
    <w:rsid w:val="00C745B9"/>
    <w:rsid w:val="00C74F21"/>
    <w:rsid w:val="00C7593F"/>
    <w:rsid w:val="00C75A8C"/>
    <w:rsid w:val="00C7685C"/>
    <w:rsid w:val="00C7753F"/>
    <w:rsid w:val="00C776E3"/>
    <w:rsid w:val="00C80BDE"/>
    <w:rsid w:val="00C80C05"/>
    <w:rsid w:val="00C815CB"/>
    <w:rsid w:val="00C826F3"/>
    <w:rsid w:val="00C836BF"/>
    <w:rsid w:val="00C83C63"/>
    <w:rsid w:val="00C84490"/>
    <w:rsid w:val="00C8466C"/>
    <w:rsid w:val="00C84E84"/>
    <w:rsid w:val="00C85034"/>
    <w:rsid w:val="00C86224"/>
    <w:rsid w:val="00C86E8A"/>
    <w:rsid w:val="00C878B0"/>
    <w:rsid w:val="00C90253"/>
    <w:rsid w:val="00C91BE9"/>
    <w:rsid w:val="00C94785"/>
    <w:rsid w:val="00C94DB7"/>
    <w:rsid w:val="00C9543E"/>
    <w:rsid w:val="00C97389"/>
    <w:rsid w:val="00C97AC5"/>
    <w:rsid w:val="00C97EB3"/>
    <w:rsid w:val="00CA0E5D"/>
    <w:rsid w:val="00CA1CFF"/>
    <w:rsid w:val="00CA3900"/>
    <w:rsid w:val="00CA3A33"/>
    <w:rsid w:val="00CA3DD9"/>
    <w:rsid w:val="00CA4ADF"/>
    <w:rsid w:val="00CA4D1F"/>
    <w:rsid w:val="00CA5C20"/>
    <w:rsid w:val="00CB0A28"/>
    <w:rsid w:val="00CB2888"/>
    <w:rsid w:val="00CB3A14"/>
    <w:rsid w:val="00CB40E1"/>
    <w:rsid w:val="00CB4EC9"/>
    <w:rsid w:val="00CB58C7"/>
    <w:rsid w:val="00CB5CB9"/>
    <w:rsid w:val="00CC0269"/>
    <w:rsid w:val="00CC084C"/>
    <w:rsid w:val="00CC11BA"/>
    <w:rsid w:val="00CC1475"/>
    <w:rsid w:val="00CC3253"/>
    <w:rsid w:val="00CC3AA3"/>
    <w:rsid w:val="00CC4422"/>
    <w:rsid w:val="00CC5634"/>
    <w:rsid w:val="00CC5F62"/>
    <w:rsid w:val="00CC6169"/>
    <w:rsid w:val="00CC7563"/>
    <w:rsid w:val="00CC767D"/>
    <w:rsid w:val="00CD0A0F"/>
    <w:rsid w:val="00CD0B22"/>
    <w:rsid w:val="00CD1F17"/>
    <w:rsid w:val="00CD2CCD"/>
    <w:rsid w:val="00CD3F01"/>
    <w:rsid w:val="00CD42AF"/>
    <w:rsid w:val="00CD5027"/>
    <w:rsid w:val="00CD59F1"/>
    <w:rsid w:val="00CD5F15"/>
    <w:rsid w:val="00CE01EF"/>
    <w:rsid w:val="00CE0274"/>
    <w:rsid w:val="00CE056C"/>
    <w:rsid w:val="00CE1A20"/>
    <w:rsid w:val="00CE252A"/>
    <w:rsid w:val="00CE49AD"/>
    <w:rsid w:val="00CE5163"/>
    <w:rsid w:val="00CE538B"/>
    <w:rsid w:val="00CE5824"/>
    <w:rsid w:val="00CE63D4"/>
    <w:rsid w:val="00CE6D9D"/>
    <w:rsid w:val="00CE6DAD"/>
    <w:rsid w:val="00CF0F48"/>
    <w:rsid w:val="00CF14E4"/>
    <w:rsid w:val="00CF1B21"/>
    <w:rsid w:val="00CF2166"/>
    <w:rsid w:val="00CF2674"/>
    <w:rsid w:val="00CF2906"/>
    <w:rsid w:val="00CF2C96"/>
    <w:rsid w:val="00CF57F4"/>
    <w:rsid w:val="00CF6AC6"/>
    <w:rsid w:val="00CF7284"/>
    <w:rsid w:val="00D00456"/>
    <w:rsid w:val="00D00EE1"/>
    <w:rsid w:val="00D032AF"/>
    <w:rsid w:val="00D03A3F"/>
    <w:rsid w:val="00D03CEC"/>
    <w:rsid w:val="00D04FD6"/>
    <w:rsid w:val="00D057B9"/>
    <w:rsid w:val="00D0596C"/>
    <w:rsid w:val="00D062B9"/>
    <w:rsid w:val="00D0671C"/>
    <w:rsid w:val="00D070AB"/>
    <w:rsid w:val="00D072AE"/>
    <w:rsid w:val="00D0744A"/>
    <w:rsid w:val="00D074CB"/>
    <w:rsid w:val="00D07532"/>
    <w:rsid w:val="00D076E8"/>
    <w:rsid w:val="00D100A1"/>
    <w:rsid w:val="00D12BAF"/>
    <w:rsid w:val="00D12DFC"/>
    <w:rsid w:val="00D14444"/>
    <w:rsid w:val="00D14A4E"/>
    <w:rsid w:val="00D15606"/>
    <w:rsid w:val="00D157C8"/>
    <w:rsid w:val="00D15A6D"/>
    <w:rsid w:val="00D15F68"/>
    <w:rsid w:val="00D164B1"/>
    <w:rsid w:val="00D16D48"/>
    <w:rsid w:val="00D1736A"/>
    <w:rsid w:val="00D175CD"/>
    <w:rsid w:val="00D17B64"/>
    <w:rsid w:val="00D20E87"/>
    <w:rsid w:val="00D217D4"/>
    <w:rsid w:val="00D22267"/>
    <w:rsid w:val="00D22898"/>
    <w:rsid w:val="00D22A04"/>
    <w:rsid w:val="00D230B6"/>
    <w:rsid w:val="00D23CB8"/>
    <w:rsid w:val="00D2428E"/>
    <w:rsid w:val="00D242BE"/>
    <w:rsid w:val="00D255E2"/>
    <w:rsid w:val="00D26AD5"/>
    <w:rsid w:val="00D26B94"/>
    <w:rsid w:val="00D27332"/>
    <w:rsid w:val="00D27CE2"/>
    <w:rsid w:val="00D30508"/>
    <w:rsid w:val="00D30C1B"/>
    <w:rsid w:val="00D3117F"/>
    <w:rsid w:val="00D34386"/>
    <w:rsid w:val="00D34CAE"/>
    <w:rsid w:val="00D35A39"/>
    <w:rsid w:val="00D3694B"/>
    <w:rsid w:val="00D369C8"/>
    <w:rsid w:val="00D36DA9"/>
    <w:rsid w:val="00D37595"/>
    <w:rsid w:val="00D40F50"/>
    <w:rsid w:val="00D41B47"/>
    <w:rsid w:val="00D42E57"/>
    <w:rsid w:val="00D4387F"/>
    <w:rsid w:val="00D43B4E"/>
    <w:rsid w:val="00D43B9A"/>
    <w:rsid w:val="00D44386"/>
    <w:rsid w:val="00D4478D"/>
    <w:rsid w:val="00D4499F"/>
    <w:rsid w:val="00D44B42"/>
    <w:rsid w:val="00D44C83"/>
    <w:rsid w:val="00D450B6"/>
    <w:rsid w:val="00D4528C"/>
    <w:rsid w:val="00D509E5"/>
    <w:rsid w:val="00D51281"/>
    <w:rsid w:val="00D537D5"/>
    <w:rsid w:val="00D53C64"/>
    <w:rsid w:val="00D54F36"/>
    <w:rsid w:val="00D54FEB"/>
    <w:rsid w:val="00D55D7C"/>
    <w:rsid w:val="00D562B3"/>
    <w:rsid w:val="00D57F95"/>
    <w:rsid w:val="00D60AB8"/>
    <w:rsid w:val="00D61C1D"/>
    <w:rsid w:val="00D62A67"/>
    <w:rsid w:val="00D63209"/>
    <w:rsid w:val="00D6389C"/>
    <w:rsid w:val="00D63B19"/>
    <w:rsid w:val="00D6463C"/>
    <w:rsid w:val="00D64BC2"/>
    <w:rsid w:val="00D64CB3"/>
    <w:rsid w:val="00D65127"/>
    <w:rsid w:val="00D676ED"/>
    <w:rsid w:val="00D70CE4"/>
    <w:rsid w:val="00D70DC1"/>
    <w:rsid w:val="00D71FE9"/>
    <w:rsid w:val="00D725C0"/>
    <w:rsid w:val="00D75C27"/>
    <w:rsid w:val="00D775F2"/>
    <w:rsid w:val="00D77D54"/>
    <w:rsid w:val="00D83E78"/>
    <w:rsid w:val="00D83EC2"/>
    <w:rsid w:val="00D83F8C"/>
    <w:rsid w:val="00D8494A"/>
    <w:rsid w:val="00D84E34"/>
    <w:rsid w:val="00D8617A"/>
    <w:rsid w:val="00D8714D"/>
    <w:rsid w:val="00D87689"/>
    <w:rsid w:val="00D913BC"/>
    <w:rsid w:val="00D92B92"/>
    <w:rsid w:val="00D9367D"/>
    <w:rsid w:val="00D94719"/>
    <w:rsid w:val="00D94F47"/>
    <w:rsid w:val="00D958D9"/>
    <w:rsid w:val="00D967B2"/>
    <w:rsid w:val="00D96D08"/>
    <w:rsid w:val="00DA100A"/>
    <w:rsid w:val="00DA1234"/>
    <w:rsid w:val="00DA14AE"/>
    <w:rsid w:val="00DA182E"/>
    <w:rsid w:val="00DA21F6"/>
    <w:rsid w:val="00DA310C"/>
    <w:rsid w:val="00DA3BA1"/>
    <w:rsid w:val="00DA3DCF"/>
    <w:rsid w:val="00DA43F0"/>
    <w:rsid w:val="00DA6562"/>
    <w:rsid w:val="00DA6C40"/>
    <w:rsid w:val="00DA7801"/>
    <w:rsid w:val="00DB01ED"/>
    <w:rsid w:val="00DB06CD"/>
    <w:rsid w:val="00DB1C3E"/>
    <w:rsid w:val="00DB1F2B"/>
    <w:rsid w:val="00DB3B12"/>
    <w:rsid w:val="00DB3FAC"/>
    <w:rsid w:val="00DB426A"/>
    <w:rsid w:val="00DB4913"/>
    <w:rsid w:val="00DB5819"/>
    <w:rsid w:val="00DB5C42"/>
    <w:rsid w:val="00DB5CDD"/>
    <w:rsid w:val="00DB663D"/>
    <w:rsid w:val="00DB695B"/>
    <w:rsid w:val="00DB796E"/>
    <w:rsid w:val="00DB7F40"/>
    <w:rsid w:val="00DC1820"/>
    <w:rsid w:val="00DC19AF"/>
    <w:rsid w:val="00DC1B40"/>
    <w:rsid w:val="00DC1BCD"/>
    <w:rsid w:val="00DC39EE"/>
    <w:rsid w:val="00DC4884"/>
    <w:rsid w:val="00DC4AD7"/>
    <w:rsid w:val="00DC55D6"/>
    <w:rsid w:val="00DC73BD"/>
    <w:rsid w:val="00DD0339"/>
    <w:rsid w:val="00DD0810"/>
    <w:rsid w:val="00DD092D"/>
    <w:rsid w:val="00DD0AC3"/>
    <w:rsid w:val="00DD159B"/>
    <w:rsid w:val="00DD2218"/>
    <w:rsid w:val="00DD22BF"/>
    <w:rsid w:val="00DD233E"/>
    <w:rsid w:val="00DD38DB"/>
    <w:rsid w:val="00DD3C0D"/>
    <w:rsid w:val="00DD3FD5"/>
    <w:rsid w:val="00DD533F"/>
    <w:rsid w:val="00DD581B"/>
    <w:rsid w:val="00DD5A96"/>
    <w:rsid w:val="00DD60E3"/>
    <w:rsid w:val="00DD61AF"/>
    <w:rsid w:val="00DD793E"/>
    <w:rsid w:val="00DD7F67"/>
    <w:rsid w:val="00DE070B"/>
    <w:rsid w:val="00DE0D43"/>
    <w:rsid w:val="00DE1724"/>
    <w:rsid w:val="00DE2868"/>
    <w:rsid w:val="00DE445A"/>
    <w:rsid w:val="00DE4C18"/>
    <w:rsid w:val="00DE5CF4"/>
    <w:rsid w:val="00DE60BA"/>
    <w:rsid w:val="00DE67EF"/>
    <w:rsid w:val="00DE6B9E"/>
    <w:rsid w:val="00DF0789"/>
    <w:rsid w:val="00DF2012"/>
    <w:rsid w:val="00DF2CD3"/>
    <w:rsid w:val="00DF33B1"/>
    <w:rsid w:val="00DF38B2"/>
    <w:rsid w:val="00DF3C44"/>
    <w:rsid w:val="00DF5CED"/>
    <w:rsid w:val="00DF637B"/>
    <w:rsid w:val="00DF69C8"/>
    <w:rsid w:val="00DF72B5"/>
    <w:rsid w:val="00E008C0"/>
    <w:rsid w:val="00E00BAF"/>
    <w:rsid w:val="00E00BF7"/>
    <w:rsid w:val="00E00D3D"/>
    <w:rsid w:val="00E02AC9"/>
    <w:rsid w:val="00E03219"/>
    <w:rsid w:val="00E045B5"/>
    <w:rsid w:val="00E04E9B"/>
    <w:rsid w:val="00E067F3"/>
    <w:rsid w:val="00E0741E"/>
    <w:rsid w:val="00E07858"/>
    <w:rsid w:val="00E10BD1"/>
    <w:rsid w:val="00E1176E"/>
    <w:rsid w:val="00E11EEE"/>
    <w:rsid w:val="00E12BEC"/>
    <w:rsid w:val="00E1311F"/>
    <w:rsid w:val="00E14125"/>
    <w:rsid w:val="00E152D5"/>
    <w:rsid w:val="00E15BED"/>
    <w:rsid w:val="00E15E86"/>
    <w:rsid w:val="00E162FF"/>
    <w:rsid w:val="00E169A8"/>
    <w:rsid w:val="00E16B69"/>
    <w:rsid w:val="00E17E6C"/>
    <w:rsid w:val="00E20B50"/>
    <w:rsid w:val="00E2199E"/>
    <w:rsid w:val="00E22A63"/>
    <w:rsid w:val="00E22AF5"/>
    <w:rsid w:val="00E23548"/>
    <w:rsid w:val="00E23858"/>
    <w:rsid w:val="00E240EB"/>
    <w:rsid w:val="00E24455"/>
    <w:rsid w:val="00E24AAB"/>
    <w:rsid w:val="00E24BFE"/>
    <w:rsid w:val="00E24E99"/>
    <w:rsid w:val="00E253EF"/>
    <w:rsid w:val="00E25E4F"/>
    <w:rsid w:val="00E267A0"/>
    <w:rsid w:val="00E26C9F"/>
    <w:rsid w:val="00E31C36"/>
    <w:rsid w:val="00E31F9B"/>
    <w:rsid w:val="00E3290D"/>
    <w:rsid w:val="00E32BD7"/>
    <w:rsid w:val="00E348C0"/>
    <w:rsid w:val="00E3522D"/>
    <w:rsid w:val="00E356CC"/>
    <w:rsid w:val="00E3716D"/>
    <w:rsid w:val="00E37729"/>
    <w:rsid w:val="00E403B5"/>
    <w:rsid w:val="00E42771"/>
    <w:rsid w:val="00E42BB1"/>
    <w:rsid w:val="00E43F93"/>
    <w:rsid w:val="00E456FA"/>
    <w:rsid w:val="00E459C5"/>
    <w:rsid w:val="00E45AEC"/>
    <w:rsid w:val="00E45C5A"/>
    <w:rsid w:val="00E50C87"/>
    <w:rsid w:val="00E50D2D"/>
    <w:rsid w:val="00E52139"/>
    <w:rsid w:val="00E52373"/>
    <w:rsid w:val="00E5297C"/>
    <w:rsid w:val="00E535DB"/>
    <w:rsid w:val="00E54176"/>
    <w:rsid w:val="00E545FE"/>
    <w:rsid w:val="00E551A8"/>
    <w:rsid w:val="00E55EEF"/>
    <w:rsid w:val="00E55FCC"/>
    <w:rsid w:val="00E56300"/>
    <w:rsid w:val="00E56798"/>
    <w:rsid w:val="00E573C5"/>
    <w:rsid w:val="00E6013D"/>
    <w:rsid w:val="00E62D21"/>
    <w:rsid w:val="00E62E72"/>
    <w:rsid w:val="00E62F87"/>
    <w:rsid w:val="00E635C4"/>
    <w:rsid w:val="00E640A5"/>
    <w:rsid w:val="00E64282"/>
    <w:rsid w:val="00E65040"/>
    <w:rsid w:val="00E6657C"/>
    <w:rsid w:val="00E66F1B"/>
    <w:rsid w:val="00E67ACA"/>
    <w:rsid w:val="00E67FC6"/>
    <w:rsid w:val="00E70243"/>
    <w:rsid w:val="00E711E6"/>
    <w:rsid w:val="00E71CAB"/>
    <w:rsid w:val="00E71DAA"/>
    <w:rsid w:val="00E72F06"/>
    <w:rsid w:val="00E737D8"/>
    <w:rsid w:val="00E73A04"/>
    <w:rsid w:val="00E75866"/>
    <w:rsid w:val="00E75B0B"/>
    <w:rsid w:val="00E75C7B"/>
    <w:rsid w:val="00E7646A"/>
    <w:rsid w:val="00E80192"/>
    <w:rsid w:val="00E81672"/>
    <w:rsid w:val="00E81678"/>
    <w:rsid w:val="00E816D9"/>
    <w:rsid w:val="00E819ED"/>
    <w:rsid w:val="00E832A7"/>
    <w:rsid w:val="00E838A4"/>
    <w:rsid w:val="00E84B46"/>
    <w:rsid w:val="00E85B92"/>
    <w:rsid w:val="00E85FA2"/>
    <w:rsid w:val="00E87A6C"/>
    <w:rsid w:val="00E87D12"/>
    <w:rsid w:val="00E87E71"/>
    <w:rsid w:val="00E87FC4"/>
    <w:rsid w:val="00E9075D"/>
    <w:rsid w:val="00E91163"/>
    <w:rsid w:val="00E915F2"/>
    <w:rsid w:val="00E93B69"/>
    <w:rsid w:val="00E93C2E"/>
    <w:rsid w:val="00E952E8"/>
    <w:rsid w:val="00E95540"/>
    <w:rsid w:val="00E95D50"/>
    <w:rsid w:val="00E96431"/>
    <w:rsid w:val="00E96DD6"/>
    <w:rsid w:val="00E96FB9"/>
    <w:rsid w:val="00E97FAE"/>
    <w:rsid w:val="00EA01F0"/>
    <w:rsid w:val="00EA0210"/>
    <w:rsid w:val="00EA02F8"/>
    <w:rsid w:val="00EA1186"/>
    <w:rsid w:val="00EA1417"/>
    <w:rsid w:val="00EA15A6"/>
    <w:rsid w:val="00EA1820"/>
    <w:rsid w:val="00EA2180"/>
    <w:rsid w:val="00EA3DBE"/>
    <w:rsid w:val="00EA4520"/>
    <w:rsid w:val="00EA45FB"/>
    <w:rsid w:val="00EA4EC1"/>
    <w:rsid w:val="00EA599F"/>
    <w:rsid w:val="00EA6497"/>
    <w:rsid w:val="00EA719A"/>
    <w:rsid w:val="00EA7AD7"/>
    <w:rsid w:val="00EB04BE"/>
    <w:rsid w:val="00EB05E7"/>
    <w:rsid w:val="00EB08F2"/>
    <w:rsid w:val="00EB0B8E"/>
    <w:rsid w:val="00EB1075"/>
    <w:rsid w:val="00EB13B8"/>
    <w:rsid w:val="00EB18FF"/>
    <w:rsid w:val="00EB2820"/>
    <w:rsid w:val="00EB2D42"/>
    <w:rsid w:val="00EB38EC"/>
    <w:rsid w:val="00EB4357"/>
    <w:rsid w:val="00EB4BDD"/>
    <w:rsid w:val="00EB558D"/>
    <w:rsid w:val="00EB5DA7"/>
    <w:rsid w:val="00EB7255"/>
    <w:rsid w:val="00EC04E1"/>
    <w:rsid w:val="00EC106D"/>
    <w:rsid w:val="00EC16AF"/>
    <w:rsid w:val="00EC1DAB"/>
    <w:rsid w:val="00EC29D6"/>
    <w:rsid w:val="00EC2B2A"/>
    <w:rsid w:val="00EC4044"/>
    <w:rsid w:val="00EC417F"/>
    <w:rsid w:val="00EC58D5"/>
    <w:rsid w:val="00EC61D9"/>
    <w:rsid w:val="00EC727B"/>
    <w:rsid w:val="00EC753F"/>
    <w:rsid w:val="00ED0DBE"/>
    <w:rsid w:val="00ED12FB"/>
    <w:rsid w:val="00ED1DB7"/>
    <w:rsid w:val="00ED2E1A"/>
    <w:rsid w:val="00ED339D"/>
    <w:rsid w:val="00ED53C7"/>
    <w:rsid w:val="00ED5B16"/>
    <w:rsid w:val="00ED5B33"/>
    <w:rsid w:val="00ED5EB4"/>
    <w:rsid w:val="00ED6108"/>
    <w:rsid w:val="00EE077D"/>
    <w:rsid w:val="00EE0ABE"/>
    <w:rsid w:val="00EE0C10"/>
    <w:rsid w:val="00EE1EA4"/>
    <w:rsid w:val="00EE21BD"/>
    <w:rsid w:val="00EE3158"/>
    <w:rsid w:val="00EE34B8"/>
    <w:rsid w:val="00EE3CB8"/>
    <w:rsid w:val="00EE3EB8"/>
    <w:rsid w:val="00EE4A88"/>
    <w:rsid w:val="00EE4E88"/>
    <w:rsid w:val="00EE4F62"/>
    <w:rsid w:val="00EE50C7"/>
    <w:rsid w:val="00EE6A38"/>
    <w:rsid w:val="00EE6E9C"/>
    <w:rsid w:val="00EE739C"/>
    <w:rsid w:val="00EE7670"/>
    <w:rsid w:val="00EE77AC"/>
    <w:rsid w:val="00EF066F"/>
    <w:rsid w:val="00EF079A"/>
    <w:rsid w:val="00EF0872"/>
    <w:rsid w:val="00EF09B3"/>
    <w:rsid w:val="00EF0E33"/>
    <w:rsid w:val="00EF126B"/>
    <w:rsid w:val="00EF1AA9"/>
    <w:rsid w:val="00EF248C"/>
    <w:rsid w:val="00EF25CA"/>
    <w:rsid w:val="00EF2B08"/>
    <w:rsid w:val="00EF2E8A"/>
    <w:rsid w:val="00EF3CF9"/>
    <w:rsid w:val="00EF4972"/>
    <w:rsid w:val="00EF4EE0"/>
    <w:rsid w:val="00EF5513"/>
    <w:rsid w:val="00EF599B"/>
    <w:rsid w:val="00EF6FD3"/>
    <w:rsid w:val="00EF7358"/>
    <w:rsid w:val="00EF7769"/>
    <w:rsid w:val="00F0079C"/>
    <w:rsid w:val="00F0194C"/>
    <w:rsid w:val="00F01B33"/>
    <w:rsid w:val="00F01C31"/>
    <w:rsid w:val="00F02A17"/>
    <w:rsid w:val="00F04B89"/>
    <w:rsid w:val="00F05983"/>
    <w:rsid w:val="00F069A0"/>
    <w:rsid w:val="00F06FDE"/>
    <w:rsid w:val="00F07612"/>
    <w:rsid w:val="00F07B30"/>
    <w:rsid w:val="00F102F4"/>
    <w:rsid w:val="00F11248"/>
    <w:rsid w:val="00F113A1"/>
    <w:rsid w:val="00F12EF4"/>
    <w:rsid w:val="00F13000"/>
    <w:rsid w:val="00F1475D"/>
    <w:rsid w:val="00F1542A"/>
    <w:rsid w:val="00F1569F"/>
    <w:rsid w:val="00F2002A"/>
    <w:rsid w:val="00F20775"/>
    <w:rsid w:val="00F209BC"/>
    <w:rsid w:val="00F22E66"/>
    <w:rsid w:val="00F2323C"/>
    <w:rsid w:val="00F23464"/>
    <w:rsid w:val="00F234B6"/>
    <w:rsid w:val="00F2474E"/>
    <w:rsid w:val="00F24828"/>
    <w:rsid w:val="00F27C1B"/>
    <w:rsid w:val="00F316C0"/>
    <w:rsid w:val="00F321C8"/>
    <w:rsid w:val="00F32981"/>
    <w:rsid w:val="00F32B29"/>
    <w:rsid w:val="00F3325D"/>
    <w:rsid w:val="00F3368A"/>
    <w:rsid w:val="00F34280"/>
    <w:rsid w:val="00F34E3C"/>
    <w:rsid w:val="00F354C8"/>
    <w:rsid w:val="00F35977"/>
    <w:rsid w:val="00F359DD"/>
    <w:rsid w:val="00F3602C"/>
    <w:rsid w:val="00F36691"/>
    <w:rsid w:val="00F3685E"/>
    <w:rsid w:val="00F37040"/>
    <w:rsid w:val="00F4029A"/>
    <w:rsid w:val="00F40975"/>
    <w:rsid w:val="00F41DD5"/>
    <w:rsid w:val="00F421FB"/>
    <w:rsid w:val="00F42208"/>
    <w:rsid w:val="00F427E3"/>
    <w:rsid w:val="00F44B61"/>
    <w:rsid w:val="00F44FCC"/>
    <w:rsid w:val="00F45113"/>
    <w:rsid w:val="00F454C2"/>
    <w:rsid w:val="00F4677D"/>
    <w:rsid w:val="00F4729F"/>
    <w:rsid w:val="00F50963"/>
    <w:rsid w:val="00F52FEE"/>
    <w:rsid w:val="00F54561"/>
    <w:rsid w:val="00F5508E"/>
    <w:rsid w:val="00F5522D"/>
    <w:rsid w:val="00F55826"/>
    <w:rsid w:val="00F55CBB"/>
    <w:rsid w:val="00F57257"/>
    <w:rsid w:val="00F608C8"/>
    <w:rsid w:val="00F61D4E"/>
    <w:rsid w:val="00F61DFE"/>
    <w:rsid w:val="00F6297A"/>
    <w:rsid w:val="00F63D03"/>
    <w:rsid w:val="00F65053"/>
    <w:rsid w:val="00F653DB"/>
    <w:rsid w:val="00F653DE"/>
    <w:rsid w:val="00F6562F"/>
    <w:rsid w:val="00F65AF4"/>
    <w:rsid w:val="00F65C53"/>
    <w:rsid w:val="00F667BB"/>
    <w:rsid w:val="00F70AEF"/>
    <w:rsid w:val="00F716A4"/>
    <w:rsid w:val="00F72DA9"/>
    <w:rsid w:val="00F72ED1"/>
    <w:rsid w:val="00F730C8"/>
    <w:rsid w:val="00F732E7"/>
    <w:rsid w:val="00F73AC7"/>
    <w:rsid w:val="00F73E7E"/>
    <w:rsid w:val="00F74AB5"/>
    <w:rsid w:val="00F80064"/>
    <w:rsid w:val="00F80A76"/>
    <w:rsid w:val="00F813FD"/>
    <w:rsid w:val="00F842FB"/>
    <w:rsid w:val="00F85418"/>
    <w:rsid w:val="00F8543B"/>
    <w:rsid w:val="00F85DE5"/>
    <w:rsid w:val="00F86212"/>
    <w:rsid w:val="00F87534"/>
    <w:rsid w:val="00F87B83"/>
    <w:rsid w:val="00F87F43"/>
    <w:rsid w:val="00F90132"/>
    <w:rsid w:val="00F90223"/>
    <w:rsid w:val="00F9028C"/>
    <w:rsid w:val="00F90355"/>
    <w:rsid w:val="00F9071E"/>
    <w:rsid w:val="00F90A8D"/>
    <w:rsid w:val="00F90CB6"/>
    <w:rsid w:val="00F92161"/>
    <w:rsid w:val="00F926B1"/>
    <w:rsid w:val="00F92F8E"/>
    <w:rsid w:val="00F92FE3"/>
    <w:rsid w:val="00F941B4"/>
    <w:rsid w:val="00F958A6"/>
    <w:rsid w:val="00F959E0"/>
    <w:rsid w:val="00F96204"/>
    <w:rsid w:val="00F963D9"/>
    <w:rsid w:val="00F9786A"/>
    <w:rsid w:val="00F97D9A"/>
    <w:rsid w:val="00F97FF6"/>
    <w:rsid w:val="00FA009A"/>
    <w:rsid w:val="00FA0C67"/>
    <w:rsid w:val="00FA0F80"/>
    <w:rsid w:val="00FA169E"/>
    <w:rsid w:val="00FA1D00"/>
    <w:rsid w:val="00FA221D"/>
    <w:rsid w:val="00FA2A64"/>
    <w:rsid w:val="00FA2CD8"/>
    <w:rsid w:val="00FA3454"/>
    <w:rsid w:val="00FA39DC"/>
    <w:rsid w:val="00FA4207"/>
    <w:rsid w:val="00FA51C3"/>
    <w:rsid w:val="00FA5A51"/>
    <w:rsid w:val="00FB0358"/>
    <w:rsid w:val="00FB0C71"/>
    <w:rsid w:val="00FB0E5B"/>
    <w:rsid w:val="00FB12AC"/>
    <w:rsid w:val="00FB1C0B"/>
    <w:rsid w:val="00FB1F46"/>
    <w:rsid w:val="00FB1FC1"/>
    <w:rsid w:val="00FB340B"/>
    <w:rsid w:val="00FB43E8"/>
    <w:rsid w:val="00FB50CB"/>
    <w:rsid w:val="00FB67ED"/>
    <w:rsid w:val="00FB69AE"/>
    <w:rsid w:val="00FB6F5B"/>
    <w:rsid w:val="00FB7C51"/>
    <w:rsid w:val="00FC1B73"/>
    <w:rsid w:val="00FC279F"/>
    <w:rsid w:val="00FC2D7B"/>
    <w:rsid w:val="00FC2F26"/>
    <w:rsid w:val="00FC48E1"/>
    <w:rsid w:val="00FC4CDD"/>
    <w:rsid w:val="00FC511E"/>
    <w:rsid w:val="00FC5223"/>
    <w:rsid w:val="00FC5360"/>
    <w:rsid w:val="00FC5501"/>
    <w:rsid w:val="00FC5953"/>
    <w:rsid w:val="00FC5C07"/>
    <w:rsid w:val="00FC7861"/>
    <w:rsid w:val="00FC7A6B"/>
    <w:rsid w:val="00FC7AE2"/>
    <w:rsid w:val="00FD08EE"/>
    <w:rsid w:val="00FD0D92"/>
    <w:rsid w:val="00FD20BD"/>
    <w:rsid w:val="00FD34AD"/>
    <w:rsid w:val="00FD35B3"/>
    <w:rsid w:val="00FD3E4E"/>
    <w:rsid w:val="00FD4083"/>
    <w:rsid w:val="00FD47D5"/>
    <w:rsid w:val="00FD4DDC"/>
    <w:rsid w:val="00FD5352"/>
    <w:rsid w:val="00FD5F3E"/>
    <w:rsid w:val="00FD6665"/>
    <w:rsid w:val="00FD6CEB"/>
    <w:rsid w:val="00FD6DCB"/>
    <w:rsid w:val="00FD6E7A"/>
    <w:rsid w:val="00FD707F"/>
    <w:rsid w:val="00FD7468"/>
    <w:rsid w:val="00FD7B9F"/>
    <w:rsid w:val="00FD7C21"/>
    <w:rsid w:val="00FE0716"/>
    <w:rsid w:val="00FE18D1"/>
    <w:rsid w:val="00FE1A01"/>
    <w:rsid w:val="00FE1F2D"/>
    <w:rsid w:val="00FE2398"/>
    <w:rsid w:val="00FE23BE"/>
    <w:rsid w:val="00FE3713"/>
    <w:rsid w:val="00FE408E"/>
    <w:rsid w:val="00FE416B"/>
    <w:rsid w:val="00FE4BCF"/>
    <w:rsid w:val="00FE5602"/>
    <w:rsid w:val="00FE5AAA"/>
    <w:rsid w:val="00FE5C98"/>
    <w:rsid w:val="00FE6263"/>
    <w:rsid w:val="00FE62AF"/>
    <w:rsid w:val="00FE6C6F"/>
    <w:rsid w:val="00FF16C1"/>
    <w:rsid w:val="00FF231B"/>
    <w:rsid w:val="00FF2B82"/>
    <w:rsid w:val="00FF3731"/>
    <w:rsid w:val="00FF4299"/>
    <w:rsid w:val="00FF49F0"/>
    <w:rsid w:val="00FF5135"/>
    <w:rsid w:val="00FF562F"/>
    <w:rsid w:val="00FF6344"/>
    <w:rsid w:val="00FF6B6A"/>
    <w:rsid w:val="00FF7228"/>
    <w:rsid w:val="00FF7478"/>
    <w:rsid w:val="00FF7E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A83512"/>
  <w15:docId w15:val="{52A8C208-BDBF-4893-BEFC-C8081F50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B34AEF"/>
    <w:pPr>
      <w:spacing w:before="2000" w:after="360"/>
      <w:outlineLvl w:val="0"/>
    </w:pPr>
    <w:rPr>
      <w:color w:val="264F90"/>
      <w:sz w:val="40"/>
      <w:szCs w:val="40"/>
    </w:rPr>
  </w:style>
  <w:style w:type="paragraph" w:styleId="Heading2">
    <w:name w:val="heading 2"/>
    <w:basedOn w:val="Normal"/>
    <w:next w:val="Normal"/>
    <w:link w:val="Heading2Char"/>
    <w:autoRedefine/>
    <w:qFormat/>
    <w:rsid w:val="009668F6"/>
    <w:pPr>
      <w:keepNext/>
      <w:numPr>
        <w:numId w:val="10"/>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490C48"/>
    <w:pPr>
      <w:numPr>
        <w:ilvl w:val="1"/>
        <w:numId w:val="8"/>
      </w:numPr>
      <w:outlineLvl w:val="2"/>
    </w:pPr>
    <w:rPr>
      <w:rFonts w:cs="Arial"/>
      <w:b/>
      <w:sz w:val="24"/>
    </w:rPr>
  </w:style>
  <w:style w:type="paragraph" w:styleId="Heading4">
    <w:name w:val="heading 4"/>
    <w:basedOn w:val="Heading3"/>
    <w:next w:val="Normal"/>
    <w:link w:val="Heading4Char"/>
    <w:autoRedefine/>
    <w:qFormat/>
    <w:rsid w:val="00E00BF7"/>
    <w:pPr>
      <w:numPr>
        <w:ilvl w:val="2"/>
        <w:numId w:val="10"/>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link w:val="FooterChar"/>
    <w:uiPriority w:val="98"/>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732300"/>
    <w:pPr>
      <w:tabs>
        <w:tab w:val="left" w:pos="4590"/>
        <w:tab w:val="right" w:pos="9450"/>
      </w:tabs>
      <w:spacing w:line="220" w:lineRule="exact"/>
      <w:ind w:left="142" w:right="188"/>
    </w:pPr>
    <w:rPr>
      <w:sz w:val="16"/>
    </w:rPr>
  </w:style>
  <w:style w:type="character" w:customStyle="1" w:styleId="FootnoteTextChar1">
    <w:name w:val="Footnote Text Char1"/>
    <w:basedOn w:val="DefaultParagraphFont"/>
    <w:link w:val="FootnoteText"/>
    <w:uiPriority w:val="99"/>
    <w:rsid w:val="00732300"/>
    <w:rPr>
      <w:sz w:val="16"/>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B34AEF"/>
    <w:rPr>
      <w:color w:val="264F90"/>
      <w:sz w:val="40"/>
      <w:szCs w:val="40"/>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numPr>
        <w:numId w:val="7"/>
      </w:numPr>
      <w:spacing w:after="80"/>
    </w:pPr>
    <w:rPr>
      <w:iCs/>
    </w:rPr>
  </w:style>
  <w:style w:type="character" w:customStyle="1" w:styleId="Heading2Char">
    <w:name w:val="Heading 2 Char"/>
    <w:basedOn w:val="DefaultParagraphFont"/>
    <w:link w:val="Heading2"/>
    <w:rsid w:val="009668F6"/>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9"/>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490C48"/>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
    <w:basedOn w:val="Normal"/>
    <w:link w:val="ListParagraphChar"/>
    <w:uiPriority w:val="34"/>
    <w:qFormat/>
    <w:rsid w:val="0058223D"/>
    <w:pPr>
      <w:ind w:left="720"/>
      <w:contextualSpacing/>
    </w:pPr>
  </w:style>
  <w:style w:type="character" w:styleId="Emphasis">
    <w:name w:val="Emphasis"/>
    <w:basedOn w:val="DefaultParagraphFont"/>
    <w:uiPriority w:val="20"/>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qFormat/>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21"/>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2"/>
      </w:numPr>
    </w:pPr>
  </w:style>
  <w:style w:type="numbering" w:customStyle="1" w:styleId="TableHeadingNumbers">
    <w:name w:val="Table Heading Numbers"/>
    <w:uiPriority w:val="99"/>
    <w:rsid w:val="00022A7F"/>
    <w:pPr>
      <w:numPr>
        <w:numId w:val="13"/>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4"/>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4"/>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8"/>
    <w:rsid w:val="001B6272"/>
    <w:rPr>
      <w:sz w:val="16"/>
    </w:rPr>
  </w:style>
  <w:style w:type="table" w:customStyle="1" w:styleId="TableGrid1">
    <w:name w:val="Table Grid1"/>
    <w:basedOn w:val="TableNormal"/>
    <w:next w:val="TableGrid"/>
    <w:uiPriority w:val="59"/>
    <w:rsid w:val="008D0D9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 space)"/>
    <w:basedOn w:val="BodyText"/>
    <w:qFormat/>
    <w:rsid w:val="00AE3DAF"/>
    <w:pPr>
      <w:autoSpaceDE/>
      <w:autoSpaceDN/>
      <w:adjustRightInd/>
      <w:spacing w:before="0" w:after="0" w:line="280" w:lineRule="atLeast"/>
    </w:pPr>
    <w:rPr>
      <w:rFonts w:asciiTheme="minorHAnsi" w:eastAsiaTheme="minorHAnsi" w:hAnsiTheme="minorHAnsi"/>
      <w:color w:val="000000" w:themeColor="text1"/>
      <w:sz w:val="22"/>
      <w:szCs w:val="20"/>
      <w:lang w:eastAsia="en-US"/>
    </w:rPr>
  </w:style>
  <w:style w:type="numbering" w:customStyle="1" w:styleId="HeadingsList1">
    <w:name w:val="Headings List1"/>
    <w:uiPriority w:val="99"/>
    <w:rsid w:val="00D27CE2"/>
    <w:pPr>
      <w:numPr>
        <w:numId w:val="20"/>
      </w:numPr>
    </w:pPr>
  </w:style>
  <w:style w:type="character" w:customStyle="1" w:styleId="ListParagraphChar">
    <w:name w:val="List Paragraph Char"/>
    <w:aliases w:val="Recommendation Char,List Paragraph1 Char,List Paragraph11 Char"/>
    <w:basedOn w:val="DefaultParagraphFont"/>
    <w:link w:val="ListParagraph"/>
    <w:uiPriority w:val="34"/>
    <w:locked/>
    <w:rsid w:val="007B3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492">
      <w:bodyDiv w:val="1"/>
      <w:marLeft w:val="0"/>
      <w:marRight w:val="0"/>
      <w:marTop w:val="0"/>
      <w:marBottom w:val="0"/>
      <w:divBdr>
        <w:top w:val="none" w:sz="0" w:space="0" w:color="auto"/>
        <w:left w:val="none" w:sz="0" w:space="0" w:color="auto"/>
        <w:bottom w:val="none" w:sz="0" w:space="0" w:color="auto"/>
        <w:right w:val="none" w:sz="0" w:space="0" w:color="auto"/>
      </w:divBdr>
    </w:div>
    <w:div w:id="169680809">
      <w:bodyDiv w:val="1"/>
      <w:marLeft w:val="0"/>
      <w:marRight w:val="0"/>
      <w:marTop w:val="0"/>
      <w:marBottom w:val="0"/>
      <w:divBdr>
        <w:top w:val="none" w:sz="0" w:space="0" w:color="auto"/>
        <w:left w:val="none" w:sz="0" w:space="0" w:color="auto"/>
        <w:bottom w:val="none" w:sz="0" w:space="0" w:color="auto"/>
        <w:right w:val="none" w:sz="0" w:space="0" w:color="auto"/>
      </w:divBdr>
    </w:div>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186990379">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37598472">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89312556">
      <w:bodyDiv w:val="1"/>
      <w:marLeft w:val="0"/>
      <w:marRight w:val="0"/>
      <w:marTop w:val="0"/>
      <w:marBottom w:val="0"/>
      <w:divBdr>
        <w:top w:val="none" w:sz="0" w:space="0" w:color="auto"/>
        <w:left w:val="none" w:sz="0" w:space="0" w:color="auto"/>
        <w:bottom w:val="none" w:sz="0" w:space="0" w:color="auto"/>
        <w:right w:val="none" w:sz="0" w:space="0" w:color="auto"/>
      </w:divBdr>
    </w:div>
    <w:div w:id="686562996">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16841255">
      <w:bodyDiv w:val="1"/>
      <w:marLeft w:val="0"/>
      <w:marRight w:val="0"/>
      <w:marTop w:val="0"/>
      <w:marBottom w:val="0"/>
      <w:divBdr>
        <w:top w:val="none" w:sz="0" w:space="0" w:color="auto"/>
        <w:left w:val="none" w:sz="0" w:space="0" w:color="auto"/>
        <w:bottom w:val="none" w:sz="0" w:space="0" w:color="auto"/>
        <w:right w:val="none" w:sz="0" w:space="0" w:color="auto"/>
      </w:divBdr>
    </w:div>
    <w:div w:id="829641914">
      <w:bodyDiv w:val="1"/>
      <w:marLeft w:val="0"/>
      <w:marRight w:val="0"/>
      <w:marTop w:val="0"/>
      <w:marBottom w:val="0"/>
      <w:divBdr>
        <w:top w:val="none" w:sz="0" w:space="0" w:color="auto"/>
        <w:left w:val="none" w:sz="0" w:space="0" w:color="auto"/>
        <w:bottom w:val="none" w:sz="0" w:space="0" w:color="auto"/>
        <w:right w:val="none" w:sz="0" w:space="0" w:color="auto"/>
      </w:divBdr>
    </w:div>
    <w:div w:id="862862226">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990064401">
      <w:bodyDiv w:val="1"/>
      <w:marLeft w:val="0"/>
      <w:marRight w:val="0"/>
      <w:marTop w:val="0"/>
      <w:marBottom w:val="0"/>
      <w:divBdr>
        <w:top w:val="none" w:sz="0" w:space="0" w:color="auto"/>
        <w:left w:val="none" w:sz="0" w:space="0" w:color="auto"/>
        <w:bottom w:val="none" w:sz="0" w:space="0" w:color="auto"/>
        <w:right w:val="none" w:sz="0" w:space="0" w:color="auto"/>
      </w:divBdr>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052928355">
      <w:bodyDiv w:val="1"/>
      <w:marLeft w:val="0"/>
      <w:marRight w:val="0"/>
      <w:marTop w:val="0"/>
      <w:marBottom w:val="0"/>
      <w:divBdr>
        <w:top w:val="none" w:sz="0" w:space="0" w:color="auto"/>
        <w:left w:val="none" w:sz="0" w:space="0" w:color="auto"/>
        <w:bottom w:val="none" w:sz="0" w:space="0" w:color="auto"/>
        <w:right w:val="none" w:sz="0" w:space="0" w:color="auto"/>
      </w:divBdr>
    </w:div>
    <w:div w:id="1132796207">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15454497">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547701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652322514">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51002864">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69122173">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47639336">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communitygrants.gov.au" TargetMode="External"/><Relationship Id="rId18" Type="http://schemas.openxmlformats.org/officeDocument/2006/relationships/hyperlink" Target="http://www.grants.gov.au/" TargetMode="External"/><Relationship Id="rId26" Type="http://schemas.openxmlformats.org/officeDocument/2006/relationships/hyperlink" Target="https://www.dss.gov.au/settlement-and-multicultural-affairs/programs-policy/settlement-services/humanitarian-settlement-program" TargetMode="External"/><Relationship Id="rId39" Type="http://schemas.openxmlformats.org/officeDocument/2006/relationships/hyperlink" Target="mailto:support@communitygrants.gov.au" TargetMode="External"/><Relationship Id="rId21" Type="http://schemas.openxmlformats.org/officeDocument/2006/relationships/diagramData" Target="diagrams/data1.xml"/><Relationship Id="rId34" Type="http://schemas.openxmlformats.org/officeDocument/2006/relationships/hyperlink" Target="http://www.grants.gov.au/" TargetMode="External"/><Relationship Id="rId42" Type="http://schemas.openxmlformats.org/officeDocument/2006/relationships/hyperlink" Target="https://www.grants.gov.au/?event=public.home" TargetMode="External"/><Relationship Id="rId47" Type="http://schemas.openxmlformats.org/officeDocument/2006/relationships/hyperlink" Target="https://www.ato.gov.au/business/gst/in-detail/managing-gst-in-your-business/tax-invoices/recipient-created-tax-invoices/" TargetMode="External"/><Relationship Id="rId50" Type="http://schemas.openxmlformats.org/officeDocument/2006/relationships/hyperlink" Target="https://www.finance.gov.au/sites/default/files/commonwealth-grants-rules-and-guidelines.pdf" TargetMode="External"/><Relationship Id="rId55" Type="http://schemas.openxmlformats.org/officeDocument/2006/relationships/hyperlink" Target="https://www.communitygrants.gov.au/" TargetMode="External"/><Relationship Id="rId63" Type="http://schemas.openxmlformats.org/officeDocument/2006/relationships/hyperlink" Target="https://www.legislation.gov.au/Series/C2004A00538" TargetMode="External"/><Relationship Id="rId68" Type="http://schemas.openxmlformats.org/officeDocument/2006/relationships/hyperlink" Target="https://www.legislation.gov.au/Series/C2004A02562" TargetMode="External"/><Relationship Id="rId76"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hyperlink" Target="https://www.finance.gov.au/sites/default/files/commonwealth-grants-rules-and-guidelines.pdf"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dss.gov.au/SACS" TargetMode="External"/><Relationship Id="rId11" Type="http://schemas.openxmlformats.org/officeDocument/2006/relationships/footnotes" Target="footnotes.xml"/><Relationship Id="rId24" Type="http://schemas.openxmlformats.org/officeDocument/2006/relationships/diagramColors" Target="diagrams/colors1.xml"/><Relationship Id="rId32" Type="http://schemas.openxmlformats.org/officeDocument/2006/relationships/hyperlink" Target="https://www.dss.gov.au/our-responsibilities/communities-and-vulnerable-people/strong-and-resilient-communities" TargetMode="External"/><Relationship Id="rId37" Type="http://schemas.openxmlformats.org/officeDocument/2006/relationships/hyperlink" Target="mailto:support@communitygrants.gov.au" TargetMode="External"/><Relationship Id="rId40" Type="http://schemas.openxmlformats.org/officeDocument/2006/relationships/hyperlink" Target="https://www.grants.gov.au/?event=public.home" TargetMode="External"/><Relationship Id="rId45" Type="http://schemas.openxmlformats.org/officeDocument/2006/relationships/hyperlink" Target="https://www.grants.gov.au/" TargetMode="External"/><Relationship Id="rId53" Type="http://schemas.openxmlformats.org/officeDocument/2006/relationships/hyperlink" Target="https://www.finance.gov.au/sites/default/files/commonwealth-grants-rules-and-guidelines.pdf" TargetMode="External"/><Relationship Id="rId58" Type="http://schemas.openxmlformats.org/officeDocument/2006/relationships/hyperlink" Target="http://www.ombudsman.gov.au/" TargetMode="External"/><Relationship Id="rId66" Type="http://schemas.openxmlformats.org/officeDocument/2006/relationships/hyperlink" Target="https://www.oaic.gov.au/privacy-law/privacy-act/australian-privacy-principles" TargetMode="External"/><Relationship Id="rId74" Type="http://schemas.openxmlformats.org/officeDocument/2006/relationships/hyperlink" Target="https://www.budget.gov.au/2018-19/content/pbs/index.html"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apsc.gov.au/publications-and-media/current-publications/aps-values-and-code-of-conduct-in-practice/conflict-of-interest" TargetMode="External"/><Relationship Id="rId10" Type="http://schemas.openxmlformats.org/officeDocument/2006/relationships/webSettings" Target="webSettings.xml"/><Relationship Id="rId19" Type="http://schemas.openxmlformats.org/officeDocument/2006/relationships/hyperlink" Target="https://www.communitygrants.gov.au/" TargetMode="External"/><Relationship Id="rId31" Type="http://schemas.openxmlformats.org/officeDocument/2006/relationships/hyperlink" Target="http://www.grants.gov.au/" TargetMode="External"/><Relationship Id="rId44" Type="http://schemas.openxmlformats.org/officeDocument/2006/relationships/hyperlink" Target="mailto:support@communitygrants.gov.au" TargetMode="External"/><Relationship Id="rId52" Type="http://schemas.openxmlformats.org/officeDocument/2006/relationships/hyperlink" Target="file://prod.protected.ind/User/user03/LLau2/insert%20link%20here" TargetMode="External"/><Relationship Id="rId60" Type="http://schemas.openxmlformats.org/officeDocument/2006/relationships/hyperlink" Target="http://www.ombudsman.gov.au" TargetMode="External"/><Relationship Id="rId65" Type="http://schemas.openxmlformats.org/officeDocument/2006/relationships/hyperlink" Target="https://www.legislation.gov.au/Details/C2014C00076" TargetMode="External"/><Relationship Id="rId73" Type="http://schemas.openxmlformats.org/officeDocument/2006/relationships/hyperlink" Target="http://www.grants.gov.au/" TargetMode="External"/><Relationship Id="rId78"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yperlink" Target="https://www.finance.gov.au/sites/default/files/commonwealth-grants-rules-and-guidelines.pdf" TargetMode="External"/><Relationship Id="rId30" Type="http://schemas.openxmlformats.org/officeDocument/2006/relationships/hyperlink" Target="http://www.grants.gov.au/" TargetMode="External"/><Relationship Id="rId35" Type="http://schemas.openxmlformats.org/officeDocument/2006/relationships/hyperlink" Target="http://www.grants.gov.au/" TargetMode="External"/><Relationship Id="rId43" Type="http://schemas.openxmlformats.org/officeDocument/2006/relationships/hyperlink" Target="mailto:support@communitygrants.gov.au" TargetMode="External"/><Relationship Id="rId48" Type="http://schemas.openxmlformats.org/officeDocument/2006/relationships/hyperlink" Target="https://www.ato.gov.au/" TargetMode="External"/><Relationship Id="rId56" Type="http://schemas.openxmlformats.org/officeDocument/2006/relationships/hyperlink" Target="https://www.dss.gov.au/about-the-department/doing-business-with-dss/complaints-process-for-grant-recipients" TargetMode="External"/><Relationship Id="rId64" Type="http://schemas.openxmlformats.org/officeDocument/2006/relationships/hyperlink" Target="https://www.communitygrants.gov.au/open-grants/how-apply/conflict-interest-policy-commonwealth-government-employee" TargetMode="External"/><Relationship Id="rId69" Type="http://schemas.openxmlformats.org/officeDocument/2006/relationships/hyperlink" Target="mailto:foi@dss.gov.au"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dex.dss.gov.au/data-exchange-protocols/dex_data_exchange_protocols/" TargetMode="External"/><Relationship Id="rId72" Type="http://schemas.openxmlformats.org/officeDocument/2006/relationships/hyperlink" Target="https://www.finance.gov.au/resource-management/pgpa-glossary/consolidated-revenue-fund/"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finance.gov.au/sites/default/files/commonwealth-grants-rules-and-guidelines.pdf" TargetMode="External"/><Relationship Id="rId25" Type="http://schemas.microsoft.com/office/2007/relationships/diagramDrawing" Target="diagrams/drawing1.xml"/><Relationship Id="rId33" Type="http://schemas.openxmlformats.org/officeDocument/2006/relationships/hyperlink" Target="https://www.grants.gov.au/?event=public.home" TargetMode="External"/><Relationship Id="rId38" Type="http://schemas.openxmlformats.org/officeDocument/2006/relationships/hyperlink" Target="http://www8.austlii.edu.au/cgi-bin/viewdoc/au/legis/cth/consol_act/cca1995115/sch1.html" TargetMode="External"/><Relationship Id="rId46" Type="http://schemas.openxmlformats.org/officeDocument/2006/relationships/hyperlink" Target="https://www.ato.gov.au/Business/GST/Registering-for-GST/" TargetMode="External"/><Relationship Id="rId59" Type="http://schemas.openxmlformats.org/officeDocument/2006/relationships/hyperlink" Target="mailto:ombudsman@ombudsman.gov.au" TargetMode="External"/><Relationship Id="rId67" Type="http://schemas.openxmlformats.org/officeDocument/2006/relationships/hyperlink" Target="http://www.grants.gov.au/" TargetMode="External"/><Relationship Id="rId20" Type="http://schemas.openxmlformats.org/officeDocument/2006/relationships/hyperlink" Target="https://www.dss.gov.au/" TargetMode="External"/><Relationship Id="rId41" Type="http://schemas.openxmlformats.org/officeDocument/2006/relationships/hyperlink" Target="https://www.grants.gov.au/" TargetMode="External"/><Relationship Id="rId54" Type="http://schemas.openxmlformats.org/officeDocument/2006/relationships/hyperlink" Target="https://www.grants.gov.au/?event=public.GO.list" TargetMode="External"/><Relationship Id="rId62" Type="http://schemas.openxmlformats.org/officeDocument/2006/relationships/hyperlink" Target="http://www8.austlii.edu.au/cgi-bin/viewdoc/au/legis/cth/consol_act/psa1999152/s13.html" TargetMode="External"/><Relationship Id="rId70" Type="http://schemas.openxmlformats.org/officeDocument/2006/relationships/hyperlink" Target="http://www.finance.gov.au/resource-management/pgpa-legislation-rules-and-associated-instruments/" TargetMode="External"/><Relationship Id="rId75" Type="http://schemas.openxmlformats.org/officeDocument/2006/relationships/hyperlink" Target="http://www.myan.org.au/file/file/Youth%20Settlement%20Framework%2031%20March%202016(1).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hyperlink" Target="https://www.dss.gov.au/settlement-and-multicultural-affairs/publications/national-settlement-framework" TargetMode="External"/><Relationship Id="rId36" Type="http://schemas.openxmlformats.org/officeDocument/2006/relationships/hyperlink" Target="https://www.grants.gov.au" TargetMode="External"/><Relationship Id="rId49" Type="http://schemas.openxmlformats.org/officeDocument/2006/relationships/hyperlink" Target="http://www.grants.gov.au/" TargetMode="External"/><Relationship Id="rId57" Type="http://schemas.openxmlformats.org/officeDocument/2006/relationships/hyperlink" Target="mailto:support@communitygrants.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tygrants.gov.au/sites/default/files/documents/05_2018/Grant%20Opportunity%20Guidelines%20-%20Client%20Services.docx" TargetMode="External"/><Relationship Id="rId2" Type="http://schemas.openxmlformats.org/officeDocument/2006/relationships/hyperlink" Target="https://www.grants.gov.au/?event=public.FO.show&amp;FOUUID=6FCA0C08-F918-1CD8-95A229C7FFBAF6D6" TargetMode="External"/><Relationship Id="rId1" Type="http://schemas.openxmlformats.org/officeDocument/2006/relationships/hyperlink" Target="https://www.grants.gov.au/?event=public.FO.show&amp;FOUUID=6FCA0C08-F918-1CD8-95A229C7FFBAF6D6" TargetMode="External"/><Relationship Id="rId6" Type="http://schemas.openxmlformats.org/officeDocument/2006/relationships/hyperlink" Target="https://www.communitygrants.gov.au/sites/default/files/documents/05_2018/Grant%20Opportunity%20Guidelines%20-%20Client%20Services.docx" TargetMode="External"/><Relationship Id="rId5" Type="http://schemas.openxmlformats.org/officeDocument/2006/relationships/hyperlink" Target="https://www.communitygrants.gov.au/sites/default/files/documents/05_2018/Grant%20Opportunity%20Guidelines%20-%20Client%20Services.docx" TargetMode="External"/><Relationship Id="rId4" Type="http://schemas.openxmlformats.org/officeDocument/2006/relationships/hyperlink" Target="https://www.communitygrants.gov.au/sites/default/files/documents/05_2018/Grant%20Opportunity%20Guidelines%20-%20Client%20Services.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6CFE3-56AB-4341-81D3-69CAB198F1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C6D9A35-3BD7-4ED4-97D5-53B94716B54B}">
      <dgm:prSet phldrT="[Text]" custT="1"/>
      <dgm:spPr>
        <a:xfrm>
          <a:off x="2285051" y="870634"/>
          <a:ext cx="1104692" cy="193595"/>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Settlement Services</a:t>
          </a:r>
        </a:p>
      </dgm:t>
    </dgm:pt>
    <dgm:pt modelId="{FD831B65-E420-4812-B760-C0B21F7052B3}" type="parTrans" cxnId="{04C9D25F-CFC2-4983-B950-2BB3CD768286}">
      <dgm:prSet/>
      <dgm:spPr>
        <a:xfrm>
          <a:off x="2791678" y="739856"/>
          <a:ext cx="91440" cy="91440"/>
        </a:xfrm>
        <a:custGeom>
          <a:avLst/>
          <a:gdLst/>
          <a:ahLst/>
          <a:cxnLst/>
          <a:rect l="0" t="0" r="0" b="0"/>
          <a:pathLst>
            <a:path>
              <a:moveTo>
                <a:pt x="45786" y="45720"/>
              </a:moveTo>
              <a:lnTo>
                <a:pt x="45786" y="76666"/>
              </a:lnTo>
              <a:lnTo>
                <a:pt x="45720" y="76666"/>
              </a:lnTo>
              <a:lnTo>
                <a:pt x="45720" y="130778"/>
              </a:lnTo>
            </a:path>
          </a:pathLst>
        </a:custGeom>
        <a:noFill/>
        <a:ln w="3175" cap="flat" cmpd="sng" algn="ctr">
          <a:solidFill>
            <a:scrgbClr r="0" g="0" b="0"/>
          </a:solidFill>
          <a:prstDash val="solid"/>
          <a:tailEnd type="triangle" w="sm" len="sm"/>
        </a:ln>
        <a:effectLst/>
      </dgm:spPr>
      <dgm:t>
        <a:bodyPr/>
        <a:lstStyle/>
        <a:p>
          <a:endParaRPr lang="en-US" sz="1100"/>
        </a:p>
      </dgm:t>
    </dgm:pt>
    <dgm:pt modelId="{D9EE8C63-1F61-48C0-91A2-3799E8175BC8}" type="sibTrans" cxnId="{04C9D25F-CFC2-4983-B950-2BB3CD768286}">
      <dgm:prSet/>
      <dgm:spPr/>
      <dgm:t>
        <a:bodyPr/>
        <a:lstStyle/>
        <a:p>
          <a:endParaRPr lang="en-US"/>
        </a:p>
      </dgm:t>
    </dgm:pt>
    <dgm:pt modelId="{7A50F5DD-9999-4DB8-83AB-CF18C214CFE0}" type="asst">
      <dgm:prSet phldrT="[Text]" custT="1"/>
      <dgm:spPr>
        <a:xfrm>
          <a:off x="867159" y="2144669"/>
          <a:ext cx="1074539" cy="234250"/>
        </a:xfrm>
        <a:prstGeom prst="rect">
          <a:avLst/>
        </a:prstGeom>
        <a:solidFill>
          <a:srgbClr val="136B87"/>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Grants for Community Settlement</a:t>
          </a:r>
        </a:p>
      </dgm:t>
    </dgm:pt>
    <dgm:pt modelId="{74F61E65-8F00-45E9-BDA7-38024994E1ED}" type="parTrans" cxnId="{A279CC45-DCB1-4BF0-9E22-C45A4AB829FB}">
      <dgm:prSet/>
      <dgm:spPr>
        <a:xfrm>
          <a:off x="1941699" y="1064229"/>
          <a:ext cx="895698" cy="1197565"/>
        </a:xfrm>
        <a:custGeom>
          <a:avLst/>
          <a:gdLst/>
          <a:ahLst/>
          <a:cxnLst/>
          <a:rect l="0" t="0" r="0" b="0"/>
          <a:pathLst>
            <a:path>
              <a:moveTo>
                <a:pt x="895698" y="0"/>
              </a:moveTo>
              <a:lnTo>
                <a:pt x="895698" y="1197565"/>
              </a:lnTo>
              <a:lnTo>
                <a:pt x="0" y="1197565"/>
              </a:lnTo>
            </a:path>
          </a:pathLst>
        </a:custGeom>
        <a:noFill/>
        <a:ln w="3175" cap="flat" cmpd="sng" algn="ctr">
          <a:solidFill>
            <a:sysClr val="windowText" lastClr="000000"/>
          </a:solidFill>
          <a:prstDash val="solid"/>
          <a:headEnd w="sm" len="sm"/>
          <a:tailEnd type="triangle" w="sm" len="sm"/>
        </a:ln>
        <a:effectLst/>
      </dgm:spPr>
      <dgm:t>
        <a:bodyPr/>
        <a:lstStyle/>
        <a:p>
          <a:endParaRPr lang="en-US"/>
        </a:p>
      </dgm:t>
    </dgm:pt>
    <dgm:pt modelId="{8D9D485F-8A90-4418-A415-70895CA888D3}" type="sibTrans" cxnId="{A279CC45-DCB1-4BF0-9E22-C45A4AB829FB}">
      <dgm:prSet/>
      <dgm:spPr/>
      <dgm:t>
        <a:bodyPr/>
        <a:lstStyle/>
        <a:p>
          <a:endParaRPr lang="en-US"/>
        </a:p>
      </dgm:t>
    </dgm:pt>
    <dgm:pt modelId="{46045B94-CD50-4999-8F57-6D939DE0614A}">
      <dgm:prSet custT="1"/>
      <dgm:spPr>
        <a:xfrm>
          <a:off x="2285118" y="442610"/>
          <a:ext cx="1104692" cy="342965"/>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Families and Communities</a:t>
          </a:r>
        </a:p>
        <a:p>
          <a:r>
            <a:rPr lang="en-US" sz="700">
              <a:solidFill>
                <a:sysClr val="window" lastClr="FFFFFF"/>
              </a:solidFill>
              <a:latin typeface="Calibri"/>
              <a:ea typeface="+mn-ea"/>
              <a:cs typeface="+mn-cs"/>
            </a:rPr>
            <a:t>Outcome 2</a:t>
          </a:r>
        </a:p>
      </dgm:t>
    </dgm:pt>
    <dgm:pt modelId="{61FCA5F0-9E65-41A4-B97D-9744107AED9A}" type="parTrans" cxnId="{3281A857-016B-45AA-85CC-A56754C4BB9E}">
      <dgm:prSet/>
      <dgm:spPr>
        <a:xfrm>
          <a:off x="2791745" y="314313"/>
          <a:ext cx="91440" cy="91440"/>
        </a:xfrm>
        <a:custGeom>
          <a:avLst/>
          <a:gdLst/>
          <a:ahLst/>
          <a:cxnLst/>
          <a:rect l="0" t="0" r="0" b="0"/>
          <a:pathLst>
            <a:path>
              <a:moveTo>
                <a:pt x="47152" y="45720"/>
              </a:moveTo>
              <a:lnTo>
                <a:pt x="47152" y="74185"/>
              </a:lnTo>
              <a:lnTo>
                <a:pt x="45720" y="74185"/>
              </a:lnTo>
              <a:lnTo>
                <a:pt x="45720" y="128296"/>
              </a:lnTo>
            </a:path>
          </a:pathLst>
        </a:custGeom>
        <a:noFill/>
        <a:ln w="3175" cap="flat" cmpd="sng" algn="ctr">
          <a:solidFill>
            <a:scrgbClr r="0" g="0" b="0"/>
          </a:solidFill>
          <a:prstDash val="solid"/>
          <a:tailEnd type="triangle" w="sm" len="sm"/>
        </a:ln>
        <a:effectLst/>
      </dgm:spPr>
      <dgm:t>
        <a:bodyPr/>
        <a:lstStyle/>
        <a:p>
          <a:endParaRPr lang="en-US"/>
        </a:p>
      </dgm:t>
    </dgm:pt>
    <dgm:pt modelId="{399A7916-B3F7-4B22-A241-7BB13EBEEC77}" type="sibTrans" cxnId="{3281A857-016B-45AA-85CC-A56754C4BB9E}">
      <dgm:prSet/>
      <dgm:spPr/>
      <dgm:t>
        <a:bodyPr/>
        <a:lstStyle/>
        <a:p>
          <a:endParaRPr lang="en-US"/>
        </a:p>
      </dgm:t>
    </dgm:pt>
    <dgm:pt modelId="{AB480DA1-8C44-4DBC-8FB4-F73A0B68E0DB}">
      <dgm:prSet custT="1"/>
      <dgm:spPr>
        <a:xfrm>
          <a:off x="2286551" y="125782"/>
          <a:ext cx="1104692" cy="234250"/>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Department of Socal Services</a:t>
          </a:r>
        </a:p>
      </dgm:t>
    </dgm:pt>
    <dgm:pt modelId="{7F9A99C9-F42E-45EA-8076-746D03963D56}" type="parTrans" cxnId="{268E5386-5F0E-492E-85C8-44EB762982C5}">
      <dgm:prSet/>
      <dgm:spPr/>
      <dgm:t>
        <a:bodyPr/>
        <a:lstStyle/>
        <a:p>
          <a:endParaRPr lang="en-US"/>
        </a:p>
      </dgm:t>
    </dgm:pt>
    <dgm:pt modelId="{3EAC7C3A-D4E0-486B-9D8E-C38613455C8D}" type="sibTrans" cxnId="{268E5386-5F0E-492E-85C8-44EB762982C5}">
      <dgm:prSet/>
      <dgm:spPr/>
      <dgm:t>
        <a:bodyPr/>
        <a:lstStyle/>
        <a:p>
          <a:endParaRPr lang="en-US"/>
        </a:p>
      </dgm:t>
    </dgm:pt>
    <dgm:pt modelId="{42905936-4C66-4E7E-9C67-23B48D62602A}" type="asst">
      <dgm:prSet custT="1"/>
      <dgm:spPr>
        <a:xfrm>
          <a:off x="4693873" y="1024720"/>
          <a:ext cx="948877" cy="283443"/>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Humanitarian Settlement Program</a:t>
          </a:r>
        </a:p>
      </dgm:t>
    </dgm:pt>
    <dgm:pt modelId="{CAE3FD96-685F-4E49-87BF-8B95E3F6783D}" type="parTrans" cxnId="{D84BA976-29EE-49FC-AC30-90777577B80F}">
      <dgm:prSet/>
      <dgm:spPr>
        <a:xfrm>
          <a:off x="2837398" y="1064229"/>
          <a:ext cx="1856475" cy="102212"/>
        </a:xfrm>
        <a:custGeom>
          <a:avLst/>
          <a:gdLst/>
          <a:ahLst/>
          <a:cxnLst/>
          <a:rect l="0" t="0" r="0" b="0"/>
          <a:pathLst>
            <a:path>
              <a:moveTo>
                <a:pt x="0" y="0"/>
              </a:moveTo>
              <a:lnTo>
                <a:pt x="0" y="102212"/>
              </a:lnTo>
              <a:lnTo>
                <a:pt x="1856475" y="102212"/>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F4FD0B06-20AD-429D-BF70-044ADB2806AA}" type="sibTrans" cxnId="{D84BA976-29EE-49FC-AC30-90777577B80F}">
      <dgm:prSet/>
      <dgm:spPr/>
      <dgm:t>
        <a:bodyPr/>
        <a:lstStyle/>
        <a:p>
          <a:endParaRPr lang="en-US"/>
        </a:p>
      </dgm:t>
    </dgm:pt>
    <dgm:pt modelId="{CF9718E8-B880-4F38-8C93-7CABAB924679}" type="asst">
      <dgm:prSet custT="1"/>
      <dgm:spPr>
        <a:xfrm>
          <a:off x="4689683" y="1792933"/>
          <a:ext cx="952350" cy="234253"/>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Free Interpreting Services</a:t>
          </a:r>
        </a:p>
      </dgm:t>
    </dgm:pt>
    <dgm:pt modelId="{0A810293-017E-4A28-8A84-37CABC2368B8}" type="parTrans" cxnId="{D499C6F5-0DDE-4511-BB30-A96868DF5A99}">
      <dgm:prSet/>
      <dgm:spPr>
        <a:xfrm>
          <a:off x="2837398" y="1064229"/>
          <a:ext cx="1852285" cy="845831"/>
        </a:xfrm>
        <a:custGeom>
          <a:avLst/>
          <a:gdLst/>
          <a:ahLst/>
          <a:cxnLst/>
          <a:rect l="0" t="0" r="0" b="0"/>
          <a:pathLst>
            <a:path>
              <a:moveTo>
                <a:pt x="0" y="0"/>
              </a:moveTo>
              <a:lnTo>
                <a:pt x="0" y="845831"/>
              </a:lnTo>
              <a:lnTo>
                <a:pt x="1852285" y="845831"/>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D1F4D6A4-BCAC-43C6-92C7-D566F10A0EE8}" type="sibTrans" cxnId="{D499C6F5-0DDE-4511-BB30-A96868DF5A99}">
      <dgm:prSet/>
      <dgm:spPr/>
      <dgm:t>
        <a:bodyPr/>
        <a:lstStyle/>
        <a:p>
          <a:endParaRPr lang="en-US"/>
        </a:p>
      </dgm:t>
    </dgm:pt>
    <dgm:pt modelId="{D1125916-4DF9-4AF5-AF09-16F41144A6FF}" type="asst">
      <dgm:prSet custT="1"/>
      <dgm:spPr>
        <a:xfrm>
          <a:off x="4693873" y="1424495"/>
          <a:ext cx="948882" cy="257678"/>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The Australian Cultural Orientation Program</a:t>
          </a:r>
        </a:p>
      </dgm:t>
    </dgm:pt>
    <dgm:pt modelId="{85D96211-FDBF-488A-B688-02A87C75294E}" type="parTrans" cxnId="{779DA469-E4F3-4534-9114-BE355A429B16}">
      <dgm:prSet/>
      <dgm:spPr>
        <a:xfrm>
          <a:off x="2837398" y="1064229"/>
          <a:ext cx="1856475" cy="489105"/>
        </a:xfrm>
        <a:custGeom>
          <a:avLst/>
          <a:gdLst/>
          <a:ahLst/>
          <a:cxnLst/>
          <a:rect l="0" t="0" r="0" b="0"/>
          <a:pathLst>
            <a:path>
              <a:moveTo>
                <a:pt x="0" y="0"/>
              </a:moveTo>
              <a:lnTo>
                <a:pt x="0" y="489105"/>
              </a:lnTo>
              <a:lnTo>
                <a:pt x="1856475" y="489105"/>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A3C7BEFC-A80F-4AB5-A818-7B09B9289D3E}" type="sibTrans" cxnId="{779DA469-E4F3-4534-9114-BE355A429B16}">
      <dgm:prSet/>
      <dgm:spPr/>
      <dgm:t>
        <a:bodyPr/>
        <a:lstStyle/>
        <a:p>
          <a:endParaRPr lang="en-US"/>
        </a:p>
      </dgm:t>
    </dgm:pt>
    <dgm:pt modelId="{5D25A3C5-BC07-486A-90BE-798A7F8DA913}" type="asst">
      <dgm:prSet custT="1"/>
      <dgm:spPr>
        <a:xfrm>
          <a:off x="4693703" y="2142666"/>
          <a:ext cx="950969" cy="242262"/>
        </a:xfrm>
        <a:prstGeom prst="rect">
          <a:avLst/>
        </a:prstGeom>
        <a:solidFill>
          <a:srgbClr val="0070C0"/>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Free Translating Services</a:t>
          </a:r>
        </a:p>
      </dgm:t>
    </dgm:pt>
    <dgm:pt modelId="{68AA9F1F-B500-439E-86C0-15BA70D736C7}" type="parTrans" cxnId="{03A82B01-EA1D-4780-9ECE-542A711FD113}">
      <dgm:prSet/>
      <dgm:spPr>
        <a:xfrm>
          <a:off x="2837398" y="1064229"/>
          <a:ext cx="1856305" cy="1199567"/>
        </a:xfrm>
        <a:custGeom>
          <a:avLst/>
          <a:gdLst/>
          <a:ahLst/>
          <a:cxnLst/>
          <a:rect l="0" t="0" r="0" b="0"/>
          <a:pathLst>
            <a:path>
              <a:moveTo>
                <a:pt x="0" y="0"/>
              </a:moveTo>
              <a:lnTo>
                <a:pt x="0" y="1199567"/>
              </a:lnTo>
              <a:lnTo>
                <a:pt x="1856305" y="1199567"/>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4B02ACF8-350A-41E7-BA9C-00B468B38398}" type="sibTrans" cxnId="{03A82B01-EA1D-4780-9ECE-542A711FD113}">
      <dgm:prSet/>
      <dgm:spPr/>
      <dgm:t>
        <a:bodyPr/>
        <a:lstStyle/>
        <a:p>
          <a:endParaRPr lang="en-US"/>
        </a:p>
      </dgm:t>
    </dgm:pt>
    <dgm:pt modelId="{21B64A85-81A3-4C05-8614-9F77F0373DE8}">
      <dgm:prSet/>
      <dgm:spPr>
        <a:xfrm>
          <a:off x="105435" y="2620865"/>
          <a:ext cx="594700" cy="763414"/>
        </a:xfrm>
        <a:prstGeom prst="rect">
          <a:avLst/>
        </a:prstGeom>
        <a:solidFill>
          <a:srgbClr val="1889AC"/>
        </a:solidFill>
        <a:ln w="3175" cap="flat" cmpd="sng" algn="ctr">
          <a:solidFill>
            <a:sysClr val="windowText" lastClr="000000"/>
          </a:solidFill>
          <a:prstDash val="solid"/>
        </a:ln>
        <a:effectLst/>
      </dgm:spPr>
      <dgm:t>
        <a:bodyPr/>
        <a:lstStyle/>
        <a:p>
          <a:r>
            <a:rPr lang="en-US">
              <a:solidFill>
                <a:sysClr val="window" lastClr="FFFFFF"/>
              </a:solidFill>
              <a:latin typeface="Calibri"/>
              <a:ea typeface="+mn-ea"/>
              <a:cs typeface="+mn-cs"/>
            </a:rPr>
            <a:t>Settlement Engagement and Transition Support - Client Services</a:t>
          </a:r>
        </a:p>
      </dgm:t>
    </dgm:pt>
    <dgm:pt modelId="{0873BD33-9E82-4C1C-8DE0-40AA363CD058}" type="parTrans" cxnId="{AB85176C-2B6E-4EB6-AA2E-B7C44BF6C850}">
      <dgm:prSet/>
      <dgm:spPr>
        <a:xfrm>
          <a:off x="402785" y="2378920"/>
          <a:ext cx="1001643" cy="241945"/>
        </a:xfrm>
        <a:custGeom>
          <a:avLst/>
          <a:gdLst/>
          <a:ahLst/>
          <a:cxnLst/>
          <a:rect l="0" t="0" r="0" b="0"/>
          <a:pathLst>
            <a:path>
              <a:moveTo>
                <a:pt x="1001643" y="0"/>
              </a:moveTo>
              <a:lnTo>
                <a:pt x="1001643" y="187833"/>
              </a:lnTo>
              <a:lnTo>
                <a:pt x="0" y="187833"/>
              </a:lnTo>
              <a:lnTo>
                <a:pt x="0" y="241945"/>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04630C80-2C30-443A-8180-D30B805D056A}" type="sibTrans" cxnId="{AB85176C-2B6E-4EB6-AA2E-B7C44BF6C850}">
      <dgm:prSet/>
      <dgm:spPr/>
      <dgm:t>
        <a:bodyPr/>
        <a:lstStyle/>
        <a:p>
          <a:endParaRPr lang="en-US"/>
        </a:p>
      </dgm:t>
    </dgm:pt>
    <dgm:pt modelId="{75F17307-C40D-4156-8DCF-DDA631F6A329}">
      <dgm:prSet/>
      <dgm:spPr>
        <a:xfrm>
          <a:off x="813847" y="2619149"/>
          <a:ext cx="571859" cy="826407"/>
        </a:xfrm>
        <a:prstGeom prst="rect">
          <a:avLst/>
        </a:prstGeom>
        <a:solidFill>
          <a:srgbClr val="1889AC"/>
        </a:solidFill>
        <a:ln w="3175" cap="flat" cmpd="sng" algn="ctr">
          <a:solidFill>
            <a:sysClr val="windowText" lastClr="000000"/>
          </a:solidFill>
          <a:prstDash val="solid"/>
        </a:ln>
        <a:effectLst/>
      </dgm:spPr>
      <dgm:t>
        <a:bodyPr/>
        <a:lstStyle/>
        <a:p>
          <a:r>
            <a:rPr lang="en-US">
              <a:solidFill>
                <a:sysClr val="window" lastClr="FFFFFF"/>
              </a:solidFill>
              <a:latin typeface="Calibri"/>
              <a:ea typeface="+mn-ea"/>
              <a:cs typeface="+mn-cs"/>
            </a:rPr>
            <a:t>Settlement Engagement and Transition Support - Community Capacity Building</a:t>
          </a:r>
        </a:p>
      </dgm:t>
    </dgm:pt>
    <dgm:pt modelId="{CD7E07FA-63E7-4590-AAE9-4B2FE665E5CD}" type="parTrans" cxnId="{5915C978-9625-45B7-AB4B-3F215712E2DC}">
      <dgm:prSet/>
      <dgm:spPr>
        <a:xfrm>
          <a:off x="1099777" y="2378920"/>
          <a:ext cx="304652" cy="240228"/>
        </a:xfrm>
        <a:custGeom>
          <a:avLst/>
          <a:gdLst/>
          <a:ahLst/>
          <a:cxnLst/>
          <a:rect l="0" t="0" r="0" b="0"/>
          <a:pathLst>
            <a:path>
              <a:moveTo>
                <a:pt x="304652" y="0"/>
              </a:moveTo>
              <a:lnTo>
                <a:pt x="304652" y="186117"/>
              </a:lnTo>
              <a:lnTo>
                <a:pt x="0" y="186117"/>
              </a:lnTo>
              <a:lnTo>
                <a:pt x="0" y="240228"/>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36A2344A-7438-4ECF-89A3-E1037CB957F4}" type="sibTrans" cxnId="{5915C978-9625-45B7-AB4B-3F215712E2DC}">
      <dgm:prSet/>
      <dgm:spPr/>
      <dgm:t>
        <a:bodyPr/>
        <a:lstStyle/>
        <a:p>
          <a:endParaRPr lang="en-US"/>
        </a:p>
      </dgm:t>
    </dgm:pt>
    <dgm:pt modelId="{E3B24DD7-4D9F-4E03-8070-44EA8052BD36}">
      <dgm:prSet custT="1"/>
      <dgm:spPr>
        <a:xfrm>
          <a:off x="4054848" y="2618832"/>
          <a:ext cx="606676" cy="669054"/>
        </a:xfrm>
        <a:prstGeom prst="rect">
          <a:avLst/>
        </a:prstGeom>
        <a:solidFill>
          <a:srgbClr val="1889AC"/>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National Accreditation Authority for Translators and Interpreters</a:t>
          </a:r>
        </a:p>
      </dgm:t>
    </dgm:pt>
    <dgm:pt modelId="{DCA81A83-0DC6-4A8D-BB3A-73356E97CDD3}" type="parTrans" cxnId="{F506EC01-D17F-42D9-8138-29799B409EDB}">
      <dgm:prSet/>
      <dgm:spPr>
        <a:xfrm>
          <a:off x="1404429" y="2378920"/>
          <a:ext cx="2953757" cy="239912"/>
        </a:xfrm>
        <a:custGeom>
          <a:avLst/>
          <a:gdLst/>
          <a:ahLst/>
          <a:cxnLst/>
          <a:rect l="0" t="0" r="0" b="0"/>
          <a:pathLst>
            <a:path>
              <a:moveTo>
                <a:pt x="0" y="0"/>
              </a:moveTo>
              <a:lnTo>
                <a:pt x="0" y="185800"/>
              </a:lnTo>
              <a:lnTo>
                <a:pt x="2953757" y="185800"/>
              </a:lnTo>
              <a:lnTo>
                <a:pt x="2953757" y="239912"/>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88AC1AE1-2137-4556-82CC-53AE7AF98F22}" type="sibTrans" cxnId="{F506EC01-D17F-42D9-8138-29799B409EDB}">
      <dgm:prSet/>
      <dgm:spPr/>
      <dgm:t>
        <a:bodyPr/>
        <a:lstStyle/>
        <a:p>
          <a:endParaRPr lang="en-US"/>
        </a:p>
      </dgm:t>
    </dgm:pt>
    <dgm:pt modelId="{3F7B62AD-1B33-40E9-B179-EAE397DDBB57}">
      <dgm:prSet custT="1"/>
      <dgm:spPr>
        <a:xfrm>
          <a:off x="2763579" y="2616096"/>
          <a:ext cx="529987" cy="358506"/>
        </a:xfrm>
        <a:prstGeom prst="rect">
          <a:avLst/>
        </a:prstGeom>
        <a:solidFill>
          <a:srgbClr val="1889AC"/>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Youth Transition Support (YTS)</a:t>
          </a:r>
        </a:p>
      </dgm:t>
    </dgm:pt>
    <dgm:pt modelId="{9BCE8671-8642-41A6-BCD0-077465CFEEDF}" type="parTrans" cxnId="{616AC512-48B5-4A33-B30D-24B73DB74B2F}">
      <dgm:prSet/>
      <dgm:spPr>
        <a:xfrm>
          <a:off x="1404429" y="2378920"/>
          <a:ext cx="1624144" cy="237175"/>
        </a:xfrm>
        <a:custGeom>
          <a:avLst/>
          <a:gdLst/>
          <a:ahLst/>
          <a:cxnLst/>
          <a:rect l="0" t="0" r="0" b="0"/>
          <a:pathLst>
            <a:path>
              <a:moveTo>
                <a:pt x="0" y="0"/>
              </a:moveTo>
              <a:lnTo>
                <a:pt x="0" y="183064"/>
              </a:lnTo>
              <a:lnTo>
                <a:pt x="1624144" y="183064"/>
              </a:lnTo>
              <a:lnTo>
                <a:pt x="1624144" y="237175"/>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4B9AD0FE-0587-463C-9FBA-A3873C2B80B1}" type="sibTrans" cxnId="{616AC512-48B5-4A33-B30D-24B73DB74B2F}">
      <dgm:prSet/>
      <dgm:spPr/>
      <dgm:t>
        <a:bodyPr/>
        <a:lstStyle/>
        <a:p>
          <a:endParaRPr lang="en-US"/>
        </a:p>
      </dgm:t>
    </dgm:pt>
    <dgm:pt modelId="{2850DDAE-412A-45E2-9F8A-8C7BC78073A2}">
      <dgm:prSet/>
      <dgm:spPr>
        <a:xfrm>
          <a:off x="1476150" y="2618379"/>
          <a:ext cx="546576" cy="356514"/>
        </a:xfrm>
        <a:prstGeom prst="rect">
          <a:avLst/>
        </a:prstGeom>
        <a:solidFill>
          <a:srgbClr val="1889AC"/>
        </a:solidFill>
        <a:ln w="3175" cap="flat" cmpd="sng" algn="ctr">
          <a:solidFill>
            <a:sysClr val="windowText" lastClr="000000"/>
          </a:solidFill>
          <a:prstDash val="solid"/>
        </a:ln>
        <a:effectLst/>
      </dgm:spPr>
      <dgm:t>
        <a:bodyPr/>
        <a:lstStyle/>
        <a:p>
          <a:r>
            <a:rPr lang="en-US">
              <a:solidFill>
                <a:sysClr val="window" lastClr="FFFFFF"/>
              </a:solidFill>
              <a:latin typeface="Calibri"/>
              <a:ea typeface="+mn-ea"/>
              <a:cs typeface="+mn-cs"/>
            </a:rPr>
            <a:t>Peak Bodies - Settlement Services</a:t>
          </a:r>
        </a:p>
      </dgm:t>
    </dgm:pt>
    <dgm:pt modelId="{D65D6A92-A415-4492-B869-1ADBA7D957B3}" type="parTrans" cxnId="{0D4E06AE-924C-4BD5-88E8-C8A964A8474A}">
      <dgm:prSet/>
      <dgm:spPr>
        <a:xfrm>
          <a:off x="1404429" y="2378920"/>
          <a:ext cx="345009" cy="239458"/>
        </a:xfrm>
        <a:custGeom>
          <a:avLst/>
          <a:gdLst/>
          <a:ahLst/>
          <a:cxnLst/>
          <a:rect l="0" t="0" r="0" b="0"/>
          <a:pathLst>
            <a:path>
              <a:moveTo>
                <a:pt x="0" y="0"/>
              </a:moveTo>
              <a:lnTo>
                <a:pt x="0" y="185347"/>
              </a:lnTo>
              <a:lnTo>
                <a:pt x="345009" y="185347"/>
              </a:lnTo>
              <a:lnTo>
                <a:pt x="345009" y="239458"/>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FDAA8A92-9029-42E8-B3E6-26B849E0169D}" type="sibTrans" cxnId="{0D4E06AE-924C-4BD5-88E8-C8A964A8474A}">
      <dgm:prSet/>
      <dgm:spPr/>
      <dgm:t>
        <a:bodyPr/>
        <a:lstStyle/>
        <a:p>
          <a:endParaRPr lang="en-US"/>
        </a:p>
      </dgm:t>
    </dgm:pt>
    <dgm:pt modelId="{BB1AB40E-4B73-4DB3-AC27-9A8246BE4299}">
      <dgm:prSet custT="1"/>
      <dgm:spPr>
        <a:xfrm>
          <a:off x="2111624" y="2616778"/>
          <a:ext cx="554997" cy="329100"/>
        </a:xfrm>
        <a:prstGeom prst="rect">
          <a:avLst/>
        </a:prstGeom>
        <a:solidFill>
          <a:srgbClr val="1889AC"/>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Career Pathways Pilot</a:t>
          </a:r>
        </a:p>
      </dgm:t>
    </dgm:pt>
    <dgm:pt modelId="{7D7CD181-F682-4B07-B8FE-9E645CFCA1B6}" type="parTrans" cxnId="{BE2E3AE6-D702-4912-A59B-08EE4300E9CD}">
      <dgm:prSet/>
      <dgm:spPr>
        <a:xfrm>
          <a:off x="1404429" y="2378920"/>
          <a:ext cx="984694" cy="237858"/>
        </a:xfrm>
        <a:custGeom>
          <a:avLst/>
          <a:gdLst/>
          <a:ahLst/>
          <a:cxnLst/>
          <a:rect l="0" t="0" r="0" b="0"/>
          <a:pathLst>
            <a:path>
              <a:moveTo>
                <a:pt x="0" y="0"/>
              </a:moveTo>
              <a:lnTo>
                <a:pt x="0" y="183746"/>
              </a:lnTo>
              <a:lnTo>
                <a:pt x="984694" y="183746"/>
              </a:lnTo>
              <a:lnTo>
                <a:pt x="984694" y="237858"/>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29EED311-BD23-44FD-9909-D3A833A9FCA7}" type="sibTrans" cxnId="{BE2E3AE6-D702-4912-A59B-08EE4300E9CD}">
      <dgm:prSet/>
      <dgm:spPr/>
      <dgm:t>
        <a:bodyPr/>
        <a:lstStyle/>
        <a:p>
          <a:endParaRPr lang="en-US"/>
        </a:p>
      </dgm:t>
    </dgm:pt>
    <dgm:pt modelId="{A553394A-F784-42A4-95B5-D423C7E3E938}">
      <dgm:prSet custT="1"/>
      <dgm:spPr>
        <a:xfrm>
          <a:off x="3391983" y="2620097"/>
          <a:ext cx="559125" cy="456427"/>
        </a:xfrm>
        <a:prstGeom prst="rect">
          <a:avLst/>
        </a:prstGeom>
        <a:solidFill>
          <a:srgbClr val="1889AC"/>
        </a:solidFill>
        <a:ln w="3175" cap="flat" cmpd="sng" algn="ctr">
          <a:solidFill>
            <a:sysClr val="windowText" lastClr="000000"/>
          </a:solidFill>
          <a:prstDash val="solid"/>
        </a:ln>
        <a:effectLst/>
      </dgm:spPr>
      <dgm:t>
        <a:bodyPr/>
        <a:lstStyle/>
        <a:p>
          <a:r>
            <a:rPr lang="en-US" sz="700">
              <a:solidFill>
                <a:sysClr val="window" lastClr="FFFFFF"/>
              </a:solidFill>
              <a:latin typeface="Calibri"/>
              <a:ea typeface="+mn-ea"/>
              <a:cs typeface="+mn-cs"/>
            </a:rPr>
            <a:t>National Community Hubs Program</a:t>
          </a:r>
        </a:p>
      </dgm:t>
    </dgm:pt>
    <dgm:pt modelId="{34AB2BE8-98C1-4A2F-ABA6-68FFF8CAA69C}" type="parTrans" cxnId="{63C403FA-D11D-4081-9667-BF942C42CF72}">
      <dgm:prSet/>
      <dgm:spPr>
        <a:xfrm>
          <a:off x="1404429" y="2378920"/>
          <a:ext cx="2267116" cy="241177"/>
        </a:xfrm>
        <a:custGeom>
          <a:avLst/>
          <a:gdLst/>
          <a:ahLst/>
          <a:cxnLst/>
          <a:rect l="0" t="0" r="0" b="0"/>
          <a:pathLst>
            <a:path>
              <a:moveTo>
                <a:pt x="0" y="0"/>
              </a:moveTo>
              <a:lnTo>
                <a:pt x="0" y="187065"/>
              </a:lnTo>
              <a:lnTo>
                <a:pt x="2267116" y="187065"/>
              </a:lnTo>
              <a:lnTo>
                <a:pt x="2267116" y="241177"/>
              </a:lnTo>
            </a:path>
          </a:pathLst>
        </a:custGeom>
        <a:noFill/>
        <a:ln w="3175" cap="flat" cmpd="sng" algn="ctr">
          <a:solidFill>
            <a:sysClr val="windowText" lastClr="000000"/>
          </a:solidFill>
          <a:prstDash val="solid"/>
          <a:tailEnd type="triangle" w="sm" len="sm"/>
        </a:ln>
        <a:effectLst/>
      </dgm:spPr>
      <dgm:t>
        <a:bodyPr/>
        <a:lstStyle/>
        <a:p>
          <a:endParaRPr lang="en-US"/>
        </a:p>
      </dgm:t>
    </dgm:pt>
    <dgm:pt modelId="{8F2F401F-4149-4D34-AEE3-4C531A1DBFA1}" type="sibTrans" cxnId="{63C403FA-D11D-4081-9667-BF942C42CF72}">
      <dgm:prSet/>
      <dgm:spPr/>
      <dgm:t>
        <a:bodyPr/>
        <a:lstStyle/>
        <a:p>
          <a:endParaRPr lang="en-US"/>
        </a:p>
      </dgm:t>
    </dgm:pt>
    <dgm:pt modelId="{DFEC4886-6799-42AE-AAD6-BB0B300F3D96}" type="pres">
      <dgm:prSet presAssocID="{06A6CFE3-56AB-4341-81D3-69CAB198F1C8}" presName="hierChild1" presStyleCnt="0">
        <dgm:presLayoutVars>
          <dgm:orgChart val="1"/>
          <dgm:chPref val="1"/>
          <dgm:dir/>
          <dgm:animOne val="branch"/>
          <dgm:animLvl val="lvl"/>
          <dgm:resizeHandles/>
        </dgm:presLayoutVars>
      </dgm:prSet>
      <dgm:spPr/>
      <dgm:t>
        <a:bodyPr/>
        <a:lstStyle/>
        <a:p>
          <a:endParaRPr lang="en-US"/>
        </a:p>
      </dgm:t>
    </dgm:pt>
    <dgm:pt modelId="{4B165306-BB8F-4404-A388-16F4052E1F36}" type="pres">
      <dgm:prSet presAssocID="{AB480DA1-8C44-4DBC-8FB4-F73A0B68E0DB}" presName="hierRoot1" presStyleCnt="0">
        <dgm:presLayoutVars>
          <dgm:hierBranch val="init"/>
        </dgm:presLayoutVars>
      </dgm:prSet>
      <dgm:spPr/>
    </dgm:pt>
    <dgm:pt modelId="{85AAB2F9-670D-432A-98C6-4F3BCCD84D17}" type="pres">
      <dgm:prSet presAssocID="{AB480DA1-8C44-4DBC-8FB4-F73A0B68E0DB}" presName="rootComposite1" presStyleCnt="0"/>
      <dgm:spPr/>
    </dgm:pt>
    <dgm:pt modelId="{D8AC9327-A1CD-4564-BC94-649FD929C1EF}" type="pres">
      <dgm:prSet presAssocID="{AB480DA1-8C44-4DBC-8FB4-F73A0B68E0DB}" presName="rootText1" presStyleLbl="node0" presStyleIdx="0" presStyleCnt="1" custScaleX="214359" custScaleY="90910" custLinFactX="-155377" custLinFactY="-6779" custLinFactNeighborX="-200000" custLinFactNeighborY="-100000">
        <dgm:presLayoutVars>
          <dgm:chPref val="3"/>
        </dgm:presLayoutVars>
      </dgm:prSet>
      <dgm:spPr/>
      <dgm:t>
        <a:bodyPr/>
        <a:lstStyle/>
        <a:p>
          <a:endParaRPr lang="en-US"/>
        </a:p>
      </dgm:t>
    </dgm:pt>
    <dgm:pt modelId="{2EF05AB1-F347-4F00-BD05-1A5EB4F1995C}" type="pres">
      <dgm:prSet presAssocID="{AB480DA1-8C44-4DBC-8FB4-F73A0B68E0DB}" presName="rootConnector1" presStyleLbl="node1" presStyleIdx="0" presStyleCnt="0"/>
      <dgm:spPr/>
      <dgm:t>
        <a:bodyPr/>
        <a:lstStyle/>
        <a:p>
          <a:endParaRPr lang="en-US"/>
        </a:p>
      </dgm:t>
    </dgm:pt>
    <dgm:pt modelId="{86B0845B-3A26-4324-9771-6FEE852C48D3}" type="pres">
      <dgm:prSet presAssocID="{AB480DA1-8C44-4DBC-8FB4-F73A0B68E0DB}" presName="hierChild2" presStyleCnt="0"/>
      <dgm:spPr/>
    </dgm:pt>
    <dgm:pt modelId="{28C0602B-2C87-4861-90B6-0B5DB7FBF216}" type="pres">
      <dgm:prSet presAssocID="{61FCA5F0-9E65-41A4-B97D-9744107AED9A}" presName="Name37" presStyleLbl="parChTrans1D2" presStyleIdx="0" presStyleCnt="1"/>
      <dgm:spPr/>
      <dgm:t>
        <a:bodyPr/>
        <a:lstStyle/>
        <a:p>
          <a:endParaRPr lang="en-US"/>
        </a:p>
      </dgm:t>
    </dgm:pt>
    <dgm:pt modelId="{F1BA5AD5-DC08-4F65-A5CF-22AD835BA5C6}" type="pres">
      <dgm:prSet presAssocID="{46045B94-CD50-4999-8F57-6D939DE0614A}" presName="hierRoot2" presStyleCnt="0">
        <dgm:presLayoutVars>
          <dgm:hierBranch val="init"/>
        </dgm:presLayoutVars>
      </dgm:prSet>
      <dgm:spPr/>
    </dgm:pt>
    <dgm:pt modelId="{1DCA13B4-DC4A-4687-B735-AA8EEF180106}" type="pres">
      <dgm:prSet presAssocID="{46045B94-CD50-4999-8F57-6D939DE0614A}" presName="rootComposite" presStyleCnt="0"/>
      <dgm:spPr/>
    </dgm:pt>
    <dgm:pt modelId="{84952F64-08B5-4089-9533-5E3CF3B90E25}" type="pres">
      <dgm:prSet presAssocID="{46045B94-CD50-4999-8F57-6D939DE0614A}" presName="rootText" presStyleLbl="node2" presStyleIdx="0" presStyleCnt="1" custScaleX="214359" custScaleY="133101" custLinFactX="-155655" custLinFactY="-16732" custLinFactNeighborX="-200000" custLinFactNeighborY="-100000">
        <dgm:presLayoutVars>
          <dgm:chPref val="3"/>
        </dgm:presLayoutVars>
      </dgm:prSet>
      <dgm:spPr/>
      <dgm:t>
        <a:bodyPr/>
        <a:lstStyle/>
        <a:p>
          <a:endParaRPr lang="en-US"/>
        </a:p>
      </dgm:t>
    </dgm:pt>
    <dgm:pt modelId="{26CE8987-195A-4E01-ABE2-5F851B5FD8D0}" type="pres">
      <dgm:prSet presAssocID="{46045B94-CD50-4999-8F57-6D939DE0614A}" presName="rootConnector" presStyleLbl="node2" presStyleIdx="0" presStyleCnt="1"/>
      <dgm:spPr/>
      <dgm:t>
        <a:bodyPr/>
        <a:lstStyle/>
        <a:p>
          <a:endParaRPr lang="en-US"/>
        </a:p>
      </dgm:t>
    </dgm:pt>
    <dgm:pt modelId="{ECF0A66F-1E3F-4B32-9F47-6BD123B97570}" type="pres">
      <dgm:prSet presAssocID="{46045B94-CD50-4999-8F57-6D939DE0614A}" presName="hierChild4" presStyleCnt="0"/>
      <dgm:spPr/>
    </dgm:pt>
    <dgm:pt modelId="{F38E90B9-29B1-47BF-912B-146610D9A7BF}" type="pres">
      <dgm:prSet presAssocID="{FD831B65-E420-4812-B760-C0B21F7052B3}" presName="Name37" presStyleLbl="parChTrans1D3" presStyleIdx="0" presStyleCnt="1"/>
      <dgm:spPr/>
      <dgm:t>
        <a:bodyPr/>
        <a:lstStyle/>
        <a:p>
          <a:endParaRPr lang="en-US"/>
        </a:p>
      </dgm:t>
    </dgm:pt>
    <dgm:pt modelId="{C9F73EFE-9AC7-4BA7-ACC1-932AF8A42705}" type="pres">
      <dgm:prSet presAssocID="{6C6D9A35-3BD7-4ED4-97D5-53B94716B54B}" presName="hierRoot2" presStyleCnt="0">
        <dgm:presLayoutVars>
          <dgm:hierBranch val="init"/>
        </dgm:presLayoutVars>
      </dgm:prSet>
      <dgm:spPr/>
    </dgm:pt>
    <dgm:pt modelId="{BE877826-3D98-491F-A94C-B2356C0D15D8}" type="pres">
      <dgm:prSet presAssocID="{6C6D9A35-3BD7-4ED4-97D5-53B94716B54B}" presName="rootComposite" presStyleCnt="0"/>
      <dgm:spPr/>
    </dgm:pt>
    <dgm:pt modelId="{98C8D6F5-283D-4DE4-950F-4DEB97D2DA40}" type="pres">
      <dgm:prSet presAssocID="{6C6D9A35-3BD7-4ED4-97D5-53B94716B54B}" presName="rootText" presStyleLbl="node3" presStyleIdx="0" presStyleCnt="1" custScaleX="214359" custScaleY="75132" custLinFactX="-155668" custLinFactY="-25722" custLinFactNeighborX="-200000" custLinFactNeighborY="-100000">
        <dgm:presLayoutVars>
          <dgm:chPref val="3"/>
        </dgm:presLayoutVars>
      </dgm:prSet>
      <dgm:spPr/>
      <dgm:t>
        <a:bodyPr/>
        <a:lstStyle/>
        <a:p>
          <a:endParaRPr lang="en-US"/>
        </a:p>
      </dgm:t>
    </dgm:pt>
    <dgm:pt modelId="{15BB3392-9F1F-40E4-BC70-88A44E8FFA7B}" type="pres">
      <dgm:prSet presAssocID="{6C6D9A35-3BD7-4ED4-97D5-53B94716B54B}" presName="rootConnector" presStyleLbl="node3" presStyleIdx="0" presStyleCnt="1"/>
      <dgm:spPr/>
      <dgm:t>
        <a:bodyPr/>
        <a:lstStyle/>
        <a:p>
          <a:endParaRPr lang="en-US"/>
        </a:p>
      </dgm:t>
    </dgm:pt>
    <dgm:pt modelId="{5781E3B1-ECD5-41CD-8746-32934A1D506B}" type="pres">
      <dgm:prSet presAssocID="{6C6D9A35-3BD7-4ED4-97D5-53B94716B54B}" presName="hierChild4" presStyleCnt="0"/>
      <dgm:spPr/>
    </dgm:pt>
    <dgm:pt modelId="{BA9A17DF-9917-41C2-9624-D03395E33B18}" type="pres">
      <dgm:prSet presAssocID="{6C6D9A35-3BD7-4ED4-97D5-53B94716B54B}" presName="hierChild5" presStyleCnt="0"/>
      <dgm:spPr/>
    </dgm:pt>
    <dgm:pt modelId="{926A62B6-A138-43E6-B3BB-F3E15043B840}" type="pres">
      <dgm:prSet presAssocID="{74F61E65-8F00-45E9-BDA7-38024994E1ED}" presName="Name111" presStyleLbl="parChTrans1D4" presStyleIdx="0" presStyleCnt="12"/>
      <dgm:spPr/>
      <dgm:t>
        <a:bodyPr/>
        <a:lstStyle/>
        <a:p>
          <a:endParaRPr lang="en-US"/>
        </a:p>
      </dgm:t>
    </dgm:pt>
    <dgm:pt modelId="{87172817-98D6-4EB6-97F2-80EF179CDF6E}" type="pres">
      <dgm:prSet presAssocID="{7A50F5DD-9999-4DB8-83AB-CF18C214CFE0}" presName="hierRoot3" presStyleCnt="0">
        <dgm:presLayoutVars>
          <dgm:hierBranch/>
        </dgm:presLayoutVars>
      </dgm:prSet>
      <dgm:spPr/>
    </dgm:pt>
    <dgm:pt modelId="{46D7DAD0-BF20-4940-99D2-F803846A079D}" type="pres">
      <dgm:prSet presAssocID="{7A50F5DD-9999-4DB8-83AB-CF18C214CFE0}" presName="rootComposite3" presStyleCnt="0"/>
      <dgm:spPr/>
    </dgm:pt>
    <dgm:pt modelId="{A433EEF3-4D1F-4EEC-BC38-9A370736E56F}" type="pres">
      <dgm:prSet presAssocID="{7A50F5DD-9999-4DB8-83AB-CF18C214CFE0}" presName="rootText3" presStyleLbl="asst3" presStyleIdx="0" presStyleCnt="5" custScaleX="208508" custScaleY="90910" custLinFactX="-75639" custLinFactY="100000" custLinFactNeighborX="-100000" custLinFactNeighborY="147039">
        <dgm:presLayoutVars>
          <dgm:chPref val="3"/>
        </dgm:presLayoutVars>
      </dgm:prSet>
      <dgm:spPr/>
      <dgm:t>
        <a:bodyPr/>
        <a:lstStyle/>
        <a:p>
          <a:endParaRPr lang="en-US"/>
        </a:p>
      </dgm:t>
    </dgm:pt>
    <dgm:pt modelId="{4C14BA9C-F016-4A4F-9D1E-EEE69D1E06A5}" type="pres">
      <dgm:prSet presAssocID="{7A50F5DD-9999-4DB8-83AB-CF18C214CFE0}" presName="rootConnector3" presStyleLbl="asst3" presStyleIdx="0" presStyleCnt="5"/>
      <dgm:spPr/>
      <dgm:t>
        <a:bodyPr/>
        <a:lstStyle/>
        <a:p>
          <a:endParaRPr lang="en-US"/>
        </a:p>
      </dgm:t>
    </dgm:pt>
    <dgm:pt modelId="{1F2828FD-EEC8-4B1D-9B90-11A32BC51EF0}" type="pres">
      <dgm:prSet presAssocID="{7A50F5DD-9999-4DB8-83AB-CF18C214CFE0}" presName="hierChild6" presStyleCnt="0"/>
      <dgm:spPr/>
    </dgm:pt>
    <dgm:pt modelId="{7302F37A-2871-449C-8D36-2AE2DCF2D38F}" type="pres">
      <dgm:prSet presAssocID="{0873BD33-9E82-4C1C-8DE0-40AA363CD058}" presName="Name35" presStyleLbl="parChTrans1D4" presStyleIdx="1" presStyleCnt="12"/>
      <dgm:spPr/>
      <dgm:t>
        <a:bodyPr/>
        <a:lstStyle/>
        <a:p>
          <a:endParaRPr lang="en-US"/>
        </a:p>
      </dgm:t>
    </dgm:pt>
    <dgm:pt modelId="{3C3FC1BB-B018-4F08-BD25-9CC11A967D5F}" type="pres">
      <dgm:prSet presAssocID="{21B64A85-81A3-4C05-8614-9F77F0373DE8}" presName="hierRoot2" presStyleCnt="0">
        <dgm:presLayoutVars>
          <dgm:hierBranch val="init"/>
        </dgm:presLayoutVars>
      </dgm:prSet>
      <dgm:spPr/>
    </dgm:pt>
    <dgm:pt modelId="{BE66CB55-38FD-466D-9D0F-86DB40EE0403}" type="pres">
      <dgm:prSet presAssocID="{21B64A85-81A3-4C05-8614-9F77F0373DE8}" presName="rootComposite" presStyleCnt="0"/>
      <dgm:spPr/>
    </dgm:pt>
    <dgm:pt modelId="{21F10632-2E2B-4504-888D-F948CF31FD56}" type="pres">
      <dgm:prSet presAssocID="{21B64A85-81A3-4C05-8614-9F77F0373DE8}" presName="rootText" presStyleLbl="node4" presStyleIdx="0" presStyleCnt="7" custScaleX="115398" custScaleY="296272" custLinFactY="100000" custLinFactNeighborX="19887" custLinFactNeighborY="194390">
        <dgm:presLayoutVars>
          <dgm:chPref val="3"/>
        </dgm:presLayoutVars>
      </dgm:prSet>
      <dgm:spPr/>
      <dgm:t>
        <a:bodyPr/>
        <a:lstStyle/>
        <a:p>
          <a:endParaRPr lang="en-US"/>
        </a:p>
      </dgm:t>
    </dgm:pt>
    <dgm:pt modelId="{00BBA8C9-12FE-43CE-BA79-670972F48FEE}" type="pres">
      <dgm:prSet presAssocID="{21B64A85-81A3-4C05-8614-9F77F0373DE8}" presName="rootConnector" presStyleLbl="node4" presStyleIdx="0" presStyleCnt="7"/>
      <dgm:spPr/>
      <dgm:t>
        <a:bodyPr/>
        <a:lstStyle/>
        <a:p>
          <a:endParaRPr lang="en-US"/>
        </a:p>
      </dgm:t>
    </dgm:pt>
    <dgm:pt modelId="{1C403704-42D4-460A-85EE-B52657261554}" type="pres">
      <dgm:prSet presAssocID="{21B64A85-81A3-4C05-8614-9F77F0373DE8}" presName="hierChild4" presStyleCnt="0"/>
      <dgm:spPr/>
    </dgm:pt>
    <dgm:pt modelId="{46857E0A-E148-42E4-9C49-20AA727FE28E}" type="pres">
      <dgm:prSet presAssocID="{21B64A85-81A3-4C05-8614-9F77F0373DE8}" presName="hierChild5" presStyleCnt="0"/>
      <dgm:spPr/>
    </dgm:pt>
    <dgm:pt modelId="{C4527DC5-2A01-4007-A7F8-C8099E1709B0}" type="pres">
      <dgm:prSet presAssocID="{9BCE8671-8642-41A6-BCD0-077465CFEEDF}" presName="Name35" presStyleLbl="parChTrans1D4" presStyleIdx="2" presStyleCnt="12"/>
      <dgm:spPr/>
      <dgm:t>
        <a:bodyPr/>
        <a:lstStyle/>
        <a:p>
          <a:endParaRPr lang="en-US"/>
        </a:p>
      </dgm:t>
    </dgm:pt>
    <dgm:pt modelId="{9EEC9F13-ECBA-4EAA-89A4-1FEC9B920CAB}" type="pres">
      <dgm:prSet presAssocID="{3F7B62AD-1B33-40E9-B179-EAE397DDBB57}" presName="hierRoot2" presStyleCnt="0">
        <dgm:presLayoutVars>
          <dgm:hierBranch val="init"/>
        </dgm:presLayoutVars>
      </dgm:prSet>
      <dgm:spPr/>
    </dgm:pt>
    <dgm:pt modelId="{7F29C39A-2FD7-45F7-BEBF-6A02682FD499}" type="pres">
      <dgm:prSet presAssocID="{3F7B62AD-1B33-40E9-B179-EAE397DDBB57}" presName="rootComposite" presStyleCnt="0"/>
      <dgm:spPr/>
    </dgm:pt>
    <dgm:pt modelId="{E189EE17-CFAF-4B64-8D9B-00B321294134}" type="pres">
      <dgm:prSet presAssocID="{3F7B62AD-1B33-40E9-B179-EAE397DDBB57}" presName="rootText" presStyleLbl="node4" presStyleIdx="1" presStyleCnt="7" custScaleX="102841" custScaleY="139132" custLinFactX="199286" custLinFactY="100000" custLinFactNeighborX="200000" custLinFactNeighborY="192539">
        <dgm:presLayoutVars>
          <dgm:chPref val="3"/>
        </dgm:presLayoutVars>
      </dgm:prSet>
      <dgm:spPr/>
      <dgm:t>
        <a:bodyPr/>
        <a:lstStyle/>
        <a:p>
          <a:endParaRPr lang="en-US"/>
        </a:p>
      </dgm:t>
    </dgm:pt>
    <dgm:pt modelId="{2D8EFD22-5BED-4AFC-9563-B13780E1FA45}" type="pres">
      <dgm:prSet presAssocID="{3F7B62AD-1B33-40E9-B179-EAE397DDBB57}" presName="rootConnector" presStyleLbl="node4" presStyleIdx="1" presStyleCnt="7"/>
      <dgm:spPr/>
      <dgm:t>
        <a:bodyPr/>
        <a:lstStyle/>
        <a:p>
          <a:endParaRPr lang="en-US"/>
        </a:p>
      </dgm:t>
    </dgm:pt>
    <dgm:pt modelId="{670D4E3B-67F5-42E0-903C-9D5CDBD9AA56}" type="pres">
      <dgm:prSet presAssocID="{3F7B62AD-1B33-40E9-B179-EAE397DDBB57}" presName="hierChild4" presStyleCnt="0"/>
      <dgm:spPr/>
    </dgm:pt>
    <dgm:pt modelId="{9DDF5279-38DA-451F-959D-B50EC7091C4F}" type="pres">
      <dgm:prSet presAssocID="{3F7B62AD-1B33-40E9-B179-EAE397DDBB57}" presName="hierChild5" presStyleCnt="0"/>
      <dgm:spPr/>
    </dgm:pt>
    <dgm:pt modelId="{5B1E7A2E-E130-4253-B1FD-9A41FC58F951}" type="pres">
      <dgm:prSet presAssocID="{D65D6A92-A415-4492-B869-1ADBA7D957B3}" presName="Name35" presStyleLbl="parChTrans1D4" presStyleIdx="3" presStyleCnt="12"/>
      <dgm:spPr/>
      <dgm:t>
        <a:bodyPr/>
        <a:lstStyle/>
        <a:p>
          <a:endParaRPr lang="en-US"/>
        </a:p>
      </dgm:t>
    </dgm:pt>
    <dgm:pt modelId="{CD37EAC1-3CE6-4388-B1C0-F7ABC7704DB6}" type="pres">
      <dgm:prSet presAssocID="{2850DDAE-412A-45E2-9F8A-8C7BC78073A2}" presName="hierRoot2" presStyleCnt="0">
        <dgm:presLayoutVars>
          <dgm:hierBranch val="init"/>
        </dgm:presLayoutVars>
      </dgm:prSet>
      <dgm:spPr/>
    </dgm:pt>
    <dgm:pt modelId="{A0A43503-0330-41F8-B4C7-77B5B076E458}" type="pres">
      <dgm:prSet presAssocID="{2850DDAE-412A-45E2-9F8A-8C7BC78073A2}" presName="rootComposite" presStyleCnt="0"/>
      <dgm:spPr/>
    </dgm:pt>
    <dgm:pt modelId="{9A9EA894-6A88-4C41-AB85-A66CFBB2A188}" type="pres">
      <dgm:prSet presAssocID="{2850DDAE-412A-45E2-9F8A-8C7BC78073A2}" presName="rootText" presStyleLbl="node4" presStyleIdx="2" presStyleCnt="7" custScaleX="106060" custScaleY="138359" custLinFactY="100000" custLinFactNeighborX="25627" custLinFactNeighborY="193425">
        <dgm:presLayoutVars>
          <dgm:chPref val="3"/>
        </dgm:presLayoutVars>
      </dgm:prSet>
      <dgm:spPr/>
      <dgm:t>
        <a:bodyPr/>
        <a:lstStyle/>
        <a:p>
          <a:endParaRPr lang="en-US"/>
        </a:p>
      </dgm:t>
    </dgm:pt>
    <dgm:pt modelId="{2E82355F-E26B-4EAD-9265-2E12D806E13F}" type="pres">
      <dgm:prSet presAssocID="{2850DDAE-412A-45E2-9F8A-8C7BC78073A2}" presName="rootConnector" presStyleLbl="node4" presStyleIdx="2" presStyleCnt="7"/>
      <dgm:spPr/>
      <dgm:t>
        <a:bodyPr/>
        <a:lstStyle/>
        <a:p>
          <a:endParaRPr lang="en-US"/>
        </a:p>
      </dgm:t>
    </dgm:pt>
    <dgm:pt modelId="{086A9E34-57CB-49E7-B1A7-8819E49BD1A3}" type="pres">
      <dgm:prSet presAssocID="{2850DDAE-412A-45E2-9F8A-8C7BC78073A2}" presName="hierChild4" presStyleCnt="0"/>
      <dgm:spPr/>
    </dgm:pt>
    <dgm:pt modelId="{C31AED8D-8823-4372-A53E-F07DFFAD1340}" type="pres">
      <dgm:prSet presAssocID="{2850DDAE-412A-45E2-9F8A-8C7BC78073A2}" presName="hierChild5" presStyleCnt="0"/>
      <dgm:spPr/>
    </dgm:pt>
    <dgm:pt modelId="{3C7EFF7C-037F-4BF1-89BD-8F5AD93E01A5}" type="pres">
      <dgm:prSet presAssocID="{7D7CD181-F682-4B07-B8FE-9E645CFCA1B6}" presName="Name35" presStyleLbl="parChTrans1D4" presStyleIdx="4" presStyleCnt="12"/>
      <dgm:spPr/>
      <dgm:t>
        <a:bodyPr/>
        <a:lstStyle/>
        <a:p>
          <a:endParaRPr lang="en-US"/>
        </a:p>
      </dgm:t>
    </dgm:pt>
    <dgm:pt modelId="{49E5F9CC-06C7-458F-A1B2-F2BDF9A4D467}" type="pres">
      <dgm:prSet presAssocID="{BB1AB40E-4B73-4DB3-AC27-9A8246BE4299}" presName="hierRoot2" presStyleCnt="0">
        <dgm:presLayoutVars>
          <dgm:hierBranch val="init"/>
        </dgm:presLayoutVars>
      </dgm:prSet>
      <dgm:spPr/>
    </dgm:pt>
    <dgm:pt modelId="{52C84D71-9B28-4B78-9099-11902FC18496}" type="pres">
      <dgm:prSet presAssocID="{BB1AB40E-4B73-4DB3-AC27-9A8246BE4299}" presName="rootComposite" presStyleCnt="0"/>
      <dgm:spPr/>
    </dgm:pt>
    <dgm:pt modelId="{0541663A-E6ED-469D-8AAE-0CF20E78670B}" type="pres">
      <dgm:prSet presAssocID="{BB1AB40E-4B73-4DB3-AC27-9A8246BE4299}" presName="rootText" presStyleLbl="node4" presStyleIdx="3" presStyleCnt="7" custScaleX="107694" custScaleY="127720" custLinFactY="100000" custLinFactNeighborX="21877" custLinFactNeighborY="192804">
        <dgm:presLayoutVars>
          <dgm:chPref val="3"/>
        </dgm:presLayoutVars>
      </dgm:prSet>
      <dgm:spPr/>
      <dgm:t>
        <a:bodyPr/>
        <a:lstStyle/>
        <a:p>
          <a:endParaRPr lang="en-US"/>
        </a:p>
      </dgm:t>
    </dgm:pt>
    <dgm:pt modelId="{FFCB7DDF-5B4B-4D53-824A-E954FAB25298}" type="pres">
      <dgm:prSet presAssocID="{BB1AB40E-4B73-4DB3-AC27-9A8246BE4299}" presName="rootConnector" presStyleLbl="node4" presStyleIdx="3" presStyleCnt="7"/>
      <dgm:spPr/>
      <dgm:t>
        <a:bodyPr/>
        <a:lstStyle/>
        <a:p>
          <a:endParaRPr lang="en-US"/>
        </a:p>
      </dgm:t>
    </dgm:pt>
    <dgm:pt modelId="{6C09DBE6-DFEC-4526-8550-55A5445D61F0}" type="pres">
      <dgm:prSet presAssocID="{BB1AB40E-4B73-4DB3-AC27-9A8246BE4299}" presName="hierChild4" presStyleCnt="0"/>
      <dgm:spPr/>
    </dgm:pt>
    <dgm:pt modelId="{E3E5A2F2-D3F7-4DEF-AD22-711B97C8CD3D}" type="pres">
      <dgm:prSet presAssocID="{BB1AB40E-4B73-4DB3-AC27-9A8246BE4299}" presName="hierChild5" presStyleCnt="0"/>
      <dgm:spPr/>
    </dgm:pt>
    <dgm:pt modelId="{CFA5D0EC-E9F9-472D-B931-98D48D7D6B6F}" type="pres">
      <dgm:prSet presAssocID="{34AB2BE8-98C1-4A2F-ABA6-68FFF8CAA69C}" presName="Name35" presStyleLbl="parChTrans1D4" presStyleIdx="5" presStyleCnt="12"/>
      <dgm:spPr/>
      <dgm:t>
        <a:bodyPr/>
        <a:lstStyle/>
        <a:p>
          <a:endParaRPr lang="en-US"/>
        </a:p>
      </dgm:t>
    </dgm:pt>
    <dgm:pt modelId="{C912C173-CA17-4B11-A3D6-E15D6DCBF9E9}" type="pres">
      <dgm:prSet presAssocID="{A553394A-F784-42A4-95B5-D423C7E3E938}" presName="hierRoot2" presStyleCnt="0">
        <dgm:presLayoutVars>
          <dgm:hierBranch val="init"/>
        </dgm:presLayoutVars>
      </dgm:prSet>
      <dgm:spPr/>
    </dgm:pt>
    <dgm:pt modelId="{AB04B214-0262-43BD-932C-AB1E5B4292D0}" type="pres">
      <dgm:prSet presAssocID="{A553394A-F784-42A4-95B5-D423C7E3E938}" presName="rootComposite" presStyleCnt="0"/>
      <dgm:spPr/>
    </dgm:pt>
    <dgm:pt modelId="{3B81453C-AE5C-4764-8528-127B2F4D0C79}" type="pres">
      <dgm:prSet presAssocID="{A553394A-F784-42A4-95B5-D423C7E3E938}" presName="rootText" presStyleLbl="node4" presStyleIdx="4" presStyleCnt="7" custScaleX="108495" custScaleY="177134" custLinFactX="41629" custLinFactY="100000" custLinFactNeighborX="100000" custLinFactNeighborY="194092">
        <dgm:presLayoutVars>
          <dgm:chPref val="3"/>
        </dgm:presLayoutVars>
      </dgm:prSet>
      <dgm:spPr/>
      <dgm:t>
        <a:bodyPr/>
        <a:lstStyle/>
        <a:p>
          <a:endParaRPr lang="en-US"/>
        </a:p>
      </dgm:t>
    </dgm:pt>
    <dgm:pt modelId="{715A8457-C490-472C-ADC2-F1E583E54AE7}" type="pres">
      <dgm:prSet presAssocID="{A553394A-F784-42A4-95B5-D423C7E3E938}" presName="rootConnector" presStyleLbl="node4" presStyleIdx="4" presStyleCnt="7"/>
      <dgm:spPr/>
      <dgm:t>
        <a:bodyPr/>
        <a:lstStyle/>
        <a:p>
          <a:endParaRPr lang="en-US"/>
        </a:p>
      </dgm:t>
    </dgm:pt>
    <dgm:pt modelId="{5665C09B-22B4-48F7-9127-32A41406EEA2}" type="pres">
      <dgm:prSet presAssocID="{A553394A-F784-42A4-95B5-D423C7E3E938}" presName="hierChild4" presStyleCnt="0"/>
      <dgm:spPr/>
    </dgm:pt>
    <dgm:pt modelId="{8E46C203-1076-4EE6-8A30-764E6F5AC2FA}" type="pres">
      <dgm:prSet presAssocID="{A553394A-F784-42A4-95B5-D423C7E3E938}" presName="hierChild5" presStyleCnt="0"/>
      <dgm:spPr/>
    </dgm:pt>
    <dgm:pt modelId="{0F7FB4EE-EE7F-432B-B46D-E2600724AA7D}" type="pres">
      <dgm:prSet presAssocID="{DCA81A83-0DC6-4A8D-BB3A-73356E97CDD3}" presName="Name35" presStyleLbl="parChTrans1D4" presStyleIdx="6" presStyleCnt="12"/>
      <dgm:spPr/>
      <dgm:t>
        <a:bodyPr/>
        <a:lstStyle/>
        <a:p>
          <a:endParaRPr lang="en-US"/>
        </a:p>
      </dgm:t>
    </dgm:pt>
    <dgm:pt modelId="{A88A61FE-2CA9-456A-B8D6-ECE891C9F072}" type="pres">
      <dgm:prSet presAssocID="{E3B24DD7-4D9F-4E03-8070-44EA8052BD36}" presName="hierRoot2" presStyleCnt="0">
        <dgm:presLayoutVars>
          <dgm:hierBranch val="init"/>
        </dgm:presLayoutVars>
      </dgm:prSet>
      <dgm:spPr/>
    </dgm:pt>
    <dgm:pt modelId="{7043D5B9-E99F-4CAB-8738-6FDA04F12AB6}" type="pres">
      <dgm:prSet presAssocID="{E3B24DD7-4D9F-4E03-8070-44EA8052BD36}" presName="rootComposite" presStyleCnt="0"/>
      <dgm:spPr/>
    </dgm:pt>
    <dgm:pt modelId="{37B45E00-D263-499F-8D86-21794F02252E}" type="pres">
      <dgm:prSet presAssocID="{E3B24DD7-4D9F-4E03-8070-44EA8052BD36}" presName="rootText" presStyleLbl="node4" presStyleIdx="5" presStyleCnt="7" custScaleX="117722" custScaleY="259652" custLinFactX="40759" custLinFactY="100000" custLinFactNeighborX="100000" custLinFactNeighborY="193601">
        <dgm:presLayoutVars>
          <dgm:chPref val="3"/>
        </dgm:presLayoutVars>
      </dgm:prSet>
      <dgm:spPr/>
      <dgm:t>
        <a:bodyPr/>
        <a:lstStyle/>
        <a:p>
          <a:endParaRPr lang="en-US"/>
        </a:p>
      </dgm:t>
    </dgm:pt>
    <dgm:pt modelId="{71236207-7073-4AB1-B0BD-317897E9E1FB}" type="pres">
      <dgm:prSet presAssocID="{E3B24DD7-4D9F-4E03-8070-44EA8052BD36}" presName="rootConnector" presStyleLbl="node4" presStyleIdx="5" presStyleCnt="7"/>
      <dgm:spPr/>
      <dgm:t>
        <a:bodyPr/>
        <a:lstStyle/>
        <a:p>
          <a:endParaRPr lang="en-US"/>
        </a:p>
      </dgm:t>
    </dgm:pt>
    <dgm:pt modelId="{B4130462-D16F-4F0B-BE5C-3DCB2874943E}" type="pres">
      <dgm:prSet presAssocID="{E3B24DD7-4D9F-4E03-8070-44EA8052BD36}" presName="hierChild4" presStyleCnt="0"/>
      <dgm:spPr/>
    </dgm:pt>
    <dgm:pt modelId="{2EA1639E-99DF-4052-95BD-D966A30A0BC8}" type="pres">
      <dgm:prSet presAssocID="{E3B24DD7-4D9F-4E03-8070-44EA8052BD36}" presName="hierChild5" presStyleCnt="0"/>
      <dgm:spPr/>
    </dgm:pt>
    <dgm:pt modelId="{48AB09D7-3B3C-46D9-93A9-A77030653FC6}" type="pres">
      <dgm:prSet presAssocID="{CD7E07FA-63E7-4590-AAE9-4B2FE665E5CD}" presName="Name35" presStyleLbl="parChTrans1D4" presStyleIdx="7" presStyleCnt="12"/>
      <dgm:spPr/>
      <dgm:t>
        <a:bodyPr/>
        <a:lstStyle/>
        <a:p>
          <a:endParaRPr lang="en-US"/>
        </a:p>
      </dgm:t>
    </dgm:pt>
    <dgm:pt modelId="{8DCFAAD8-2651-4C0C-8B49-9DEE4B9EBD09}" type="pres">
      <dgm:prSet presAssocID="{75F17307-C40D-4156-8DCF-DDA631F6A329}" presName="hierRoot2" presStyleCnt="0">
        <dgm:presLayoutVars>
          <dgm:hierBranch val="init"/>
        </dgm:presLayoutVars>
      </dgm:prSet>
      <dgm:spPr/>
    </dgm:pt>
    <dgm:pt modelId="{23E759FD-EFAA-467F-B8DB-74D8A729FB49}" type="pres">
      <dgm:prSet presAssocID="{75F17307-C40D-4156-8DCF-DDA631F6A329}" presName="rootComposite" presStyleCnt="0"/>
      <dgm:spPr/>
    </dgm:pt>
    <dgm:pt modelId="{9507D47E-B424-404C-8CEA-15A01B3AB8BE}" type="pres">
      <dgm:prSet presAssocID="{75F17307-C40D-4156-8DCF-DDA631F6A329}" presName="rootText" presStyleLbl="node4" presStyleIdx="6" presStyleCnt="7" custScaleX="110966" custScaleY="320719" custLinFactX="-300000" custLinFactY="100000" custLinFactNeighborX="-326860" custLinFactNeighborY="193724">
        <dgm:presLayoutVars>
          <dgm:chPref val="3"/>
        </dgm:presLayoutVars>
      </dgm:prSet>
      <dgm:spPr/>
      <dgm:t>
        <a:bodyPr/>
        <a:lstStyle/>
        <a:p>
          <a:endParaRPr lang="en-US"/>
        </a:p>
      </dgm:t>
    </dgm:pt>
    <dgm:pt modelId="{72D3A510-B05E-4F98-A7AB-7D37CF2C660B}" type="pres">
      <dgm:prSet presAssocID="{75F17307-C40D-4156-8DCF-DDA631F6A329}" presName="rootConnector" presStyleLbl="node4" presStyleIdx="6" presStyleCnt="7"/>
      <dgm:spPr/>
      <dgm:t>
        <a:bodyPr/>
        <a:lstStyle/>
        <a:p>
          <a:endParaRPr lang="en-US"/>
        </a:p>
      </dgm:t>
    </dgm:pt>
    <dgm:pt modelId="{4CBC8D6D-40BA-408C-AC6B-09B57CEC0F17}" type="pres">
      <dgm:prSet presAssocID="{75F17307-C40D-4156-8DCF-DDA631F6A329}" presName="hierChild4" presStyleCnt="0"/>
      <dgm:spPr/>
    </dgm:pt>
    <dgm:pt modelId="{5BE9F39F-D4B7-48CE-948D-05EA297CBC32}" type="pres">
      <dgm:prSet presAssocID="{75F17307-C40D-4156-8DCF-DDA631F6A329}" presName="hierChild5" presStyleCnt="0"/>
      <dgm:spPr/>
    </dgm:pt>
    <dgm:pt modelId="{7CD76230-16F0-4A69-9B80-BB8F5F412C73}" type="pres">
      <dgm:prSet presAssocID="{7A50F5DD-9999-4DB8-83AB-CF18C214CFE0}" presName="hierChild7" presStyleCnt="0"/>
      <dgm:spPr/>
    </dgm:pt>
    <dgm:pt modelId="{7D56C2A2-A0C4-4E78-BFDF-37C9D35A9FFF}" type="pres">
      <dgm:prSet presAssocID="{CAE3FD96-685F-4E49-87BF-8B95E3F6783D}" presName="Name111" presStyleLbl="parChTrans1D4" presStyleIdx="8" presStyleCnt="12"/>
      <dgm:spPr/>
      <dgm:t>
        <a:bodyPr/>
        <a:lstStyle/>
        <a:p>
          <a:endParaRPr lang="en-US"/>
        </a:p>
      </dgm:t>
    </dgm:pt>
    <dgm:pt modelId="{D3E7405A-13B0-4923-BCD9-3B62DA17B6C6}" type="pres">
      <dgm:prSet presAssocID="{42905936-4C66-4E7E-9C67-23B48D62602A}" presName="hierRoot3" presStyleCnt="0">
        <dgm:presLayoutVars>
          <dgm:hierBranch val="init"/>
        </dgm:presLayoutVars>
      </dgm:prSet>
      <dgm:spPr/>
    </dgm:pt>
    <dgm:pt modelId="{FE933DC3-50CF-4CA9-B06F-0358A24D1D5D}" type="pres">
      <dgm:prSet presAssocID="{42905936-4C66-4E7E-9C67-23B48D62602A}" presName="rootComposite3" presStyleCnt="0"/>
      <dgm:spPr/>
    </dgm:pt>
    <dgm:pt modelId="{CED1C35C-5BEE-47C0-ACEE-C8A777125BD7}" type="pres">
      <dgm:prSet presAssocID="{42905936-4C66-4E7E-9C67-23B48D62602A}" presName="rootText3" presStyleLbl="asst3" presStyleIdx="1" presStyleCnt="5" custScaleX="184124" custScaleY="110001" custLinFactY="-83055" custLinFactNeighborX="-5930" custLinFactNeighborY="-100000">
        <dgm:presLayoutVars>
          <dgm:chPref val="3"/>
        </dgm:presLayoutVars>
      </dgm:prSet>
      <dgm:spPr/>
      <dgm:t>
        <a:bodyPr/>
        <a:lstStyle/>
        <a:p>
          <a:endParaRPr lang="en-US"/>
        </a:p>
      </dgm:t>
    </dgm:pt>
    <dgm:pt modelId="{D3FBB99E-409D-44D9-B4BC-3F34A2B787C5}" type="pres">
      <dgm:prSet presAssocID="{42905936-4C66-4E7E-9C67-23B48D62602A}" presName="rootConnector3" presStyleLbl="asst3" presStyleIdx="1" presStyleCnt="5"/>
      <dgm:spPr/>
      <dgm:t>
        <a:bodyPr/>
        <a:lstStyle/>
        <a:p>
          <a:endParaRPr lang="en-US"/>
        </a:p>
      </dgm:t>
    </dgm:pt>
    <dgm:pt modelId="{8C1A6D41-4BE7-4D2F-BA76-7B519FB96D41}" type="pres">
      <dgm:prSet presAssocID="{42905936-4C66-4E7E-9C67-23B48D62602A}" presName="hierChild6" presStyleCnt="0"/>
      <dgm:spPr/>
    </dgm:pt>
    <dgm:pt modelId="{C193C786-2940-44E4-8871-24B218FBEF38}" type="pres">
      <dgm:prSet presAssocID="{42905936-4C66-4E7E-9C67-23B48D62602A}" presName="hierChild7" presStyleCnt="0"/>
      <dgm:spPr/>
    </dgm:pt>
    <dgm:pt modelId="{58D39051-EB5E-48A8-B986-4D97BE64E513}" type="pres">
      <dgm:prSet presAssocID="{68AA9F1F-B500-439E-86C0-15BA70D736C7}" presName="Name111" presStyleLbl="parChTrans1D4" presStyleIdx="9" presStyleCnt="12"/>
      <dgm:spPr/>
      <dgm:t>
        <a:bodyPr/>
        <a:lstStyle/>
        <a:p>
          <a:endParaRPr lang="en-US"/>
        </a:p>
      </dgm:t>
    </dgm:pt>
    <dgm:pt modelId="{52AFA797-8566-4CC3-AE13-FB47CEF20336}" type="pres">
      <dgm:prSet presAssocID="{5D25A3C5-BC07-486A-90BE-798A7F8DA913}" presName="hierRoot3" presStyleCnt="0">
        <dgm:presLayoutVars>
          <dgm:hierBranch val="init"/>
        </dgm:presLayoutVars>
      </dgm:prSet>
      <dgm:spPr/>
    </dgm:pt>
    <dgm:pt modelId="{24673852-8727-440C-B5E3-4872CE4B51CA}" type="pres">
      <dgm:prSet presAssocID="{5D25A3C5-BC07-486A-90BE-798A7F8DA913}" presName="rootComposite3" presStyleCnt="0"/>
      <dgm:spPr/>
    </dgm:pt>
    <dgm:pt modelId="{C33FA1EF-6107-451F-98DD-131EA369ED42}" type="pres">
      <dgm:prSet presAssocID="{5D25A3C5-BC07-486A-90BE-798A7F8DA913}" presName="rootText3" presStyleLbl="asst3" presStyleIdx="2" presStyleCnt="5" custScaleX="184530" custScaleY="94019" custLinFactX="410213" custLinFactY="-100000" custLinFactNeighborX="500000" custLinFactNeighborY="-156903">
        <dgm:presLayoutVars>
          <dgm:chPref val="3"/>
        </dgm:presLayoutVars>
      </dgm:prSet>
      <dgm:spPr/>
      <dgm:t>
        <a:bodyPr/>
        <a:lstStyle/>
        <a:p>
          <a:endParaRPr lang="en-US"/>
        </a:p>
      </dgm:t>
    </dgm:pt>
    <dgm:pt modelId="{939E23C8-10AE-4903-B77D-E755BB8F8BA7}" type="pres">
      <dgm:prSet presAssocID="{5D25A3C5-BC07-486A-90BE-798A7F8DA913}" presName="rootConnector3" presStyleLbl="asst3" presStyleIdx="2" presStyleCnt="5"/>
      <dgm:spPr/>
      <dgm:t>
        <a:bodyPr/>
        <a:lstStyle/>
        <a:p>
          <a:endParaRPr lang="en-US"/>
        </a:p>
      </dgm:t>
    </dgm:pt>
    <dgm:pt modelId="{A59CB9BF-72B8-4CFF-A5DB-67C9E4AEB36D}" type="pres">
      <dgm:prSet presAssocID="{5D25A3C5-BC07-486A-90BE-798A7F8DA913}" presName="hierChild6" presStyleCnt="0"/>
      <dgm:spPr/>
    </dgm:pt>
    <dgm:pt modelId="{E158CFEB-D68D-4F19-B894-45796F9D361C}" type="pres">
      <dgm:prSet presAssocID="{5D25A3C5-BC07-486A-90BE-798A7F8DA913}" presName="hierChild7" presStyleCnt="0"/>
      <dgm:spPr/>
    </dgm:pt>
    <dgm:pt modelId="{67A239B1-1C87-455D-AD97-F1F184141030}" type="pres">
      <dgm:prSet presAssocID="{85D96211-FDBF-488A-B688-02A87C75294E}" presName="Name111" presStyleLbl="parChTrans1D4" presStyleIdx="10" presStyleCnt="12"/>
      <dgm:spPr/>
      <dgm:t>
        <a:bodyPr/>
        <a:lstStyle/>
        <a:p>
          <a:endParaRPr lang="en-US"/>
        </a:p>
      </dgm:t>
    </dgm:pt>
    <dgm:pt modelId="{2E265E31-EF21-4642-A429-17EC5D24875C}" type="pres">
      <dgm:prSet presAssocID="{D1125916-4DF9-4AF5-AF09-16F41144A6FF}" presName="hierRoot3" presStyleCnt="0">
        <dgm:presLayoutVars>
          <dgm:hierBranch val="init"/>
        </dgm:presLayoutVars>
      </dgm:prSet>
      <dgm:spPr/>
    </dgm:pt>
    <dgm:pt modelId="{6F97BFEB-1D6D-4B3D-830C-11E6A34D5D51}" type="pres">
      <dgm:prSet presAssocID="{D1125916-4DF9-4AF5-AF09-16F41144A6FF}" presName="rootComposite3" presStyleCnt="0"/>
      <dgm:spPr/>
    </dgm:pt>
    <dgm:pt modelId="{927D1110-9627-4013-B995-032C20684B77}" type="pres">
      <dgm:prSet presAssocID="{D1125916-4DF9-4AF5-AF09-16F41144A6FF}" presName="rootText3" presStyleLbl="asst3" presStyleIdx="3" presStyleCnt="5" custScaleX="184125" custScaleY="100002" custLinFactY="-232626" custLinFactNeighborX="-5930" custLinFactNeighborY="-300000">
        <dgm:presLayoutVars>
          <dgm:chPref val="3"/>
        </dgm:presLayoutVars>
      </dgm:prSet>
      <dgm:spPr/>
      <dgm:t>
        <a:bodyPr/>
        <a:lstStyle/>
        <a:p>
          <a:endParaRPr lang="en-US"/>
        </a:p>
      </dgm:t>
    </dgm:pt>
    <dgm:pt modelId="{DE43C67F-1119-4D79-83FA-FF656A43919C}" type="pres">
      <dgm:prSet presAssocID="{D1125916-4DF9-4AF5-AF09-16F41144A6FF}" presName="rootConnector3" presStyleLbl="asst3" presStyleIdx="3" presStyleCnt="5"/>
      <dgm:spPr/>
      <dgm:t>
        <a:bodyPr/>
        <a:lstStyle/>
        <a:p>
          <a:endParaRPr lang="en-US"/>
        </a:p>
      </dgm:t>
    </dgm:pt>
    <dgm:pt modelId="{A817D212-6DE1-4181-A943-F19F2C006E2E}" type="pres">
      <dgm:prSet presAssocID="{D1125916-4DF9-4AF5-AF09-16F41144A6FF}" presName="hierChild6" presStyleCnt="0"/>
      <dgm:spPr/>
    </dgm:pt>
    <dgm:pt modelId="{396A082F-0EE5-4603-B169-9BC5519E1C32}" type="pres">
      <dgm:prSet presAssocID="{D1125916-4DF9-4AF5-AF09-16F41144A6FF}" presName="hierChild7" presStyleCnt="0"/>
      <dgm:spPr/>
    </dgm:pt>
    <dgm:pt modelId="{FC9F3623-0C51-4DA1-A486-2E7DF44383B7}" type="pres">
      <dgm:prSet presAssocID="{0A810293-017E-4A28-8A84-37CABC2368B8}" presName="Name111" presStyleLbl="parChTrans1D4" presStyleIdx="11" presStyleCnt="12"/>
      <dgm:spPr/>
      <dgm:t>
        <a:bodyPr/>
        <a:lstStyle/>
        <a:p>
          <a:endParaRPr lang="en-US"/>
        </a:p>
      </dgm:t>
    </dgm:pt>
    <dgm:pt modelId="{C00879C7-F8BB-4B9A-9F2D-53C42B20EFA8}" type="pres">
      <dgm:prSet presAssocID="{CF9718E8-B880-4F38-8C93-7CABAB924679}" presName="hierRoot3" presStyleCnt="0">
        <dgm:presLayoutVars>
          <dgm:hierBranch val="init"/>
        </dgm:presLayoutVars>
      </dgm:prSet>
      <dgm:spPr/>
    </dgm:pt>
    <dgm:pt modelId="{D8627897-B558-4D5F-9725-7166E303DEED}" type="pres">
      <dgm:prSet presAssocID="{CF9718E8-B880-4F38-8C93-7CABAB924679}" presName="rootComposite3" presStyleCnt="0"/>
      <dgm:spPr/>
    </dgm:pt>
    <dgm:pt modelId="{AD7124AF-0DB0-41FC-8AFB-3E05E65E1EA0}" type="pres">
      <dgm:prSet presAssocID="{CF9718E8-B880-4F38-8C93-7CABAB924679}" presName="rootText3" presStyleLbl="asst3" presStyleIdx="4" presStyleCnt="5" custScaleX="184798" custScaleY="90911" custLinFactX="409433" custLinFactY="-236186" custLinFactNeighborX="500000" custLinFactNeighborY="-300000">
        <dgm:presLayoutVars>
          <dgm:chPref val="3"/>
        </dgm:presLayoutVars>
      </dgm:prSet>
      <dgm:spPr/>
      <dgm:t>
        <a:bodyPr/>
        <a:lstStyle/>
        <a:p>
          <a:endParaRPr lang="en-US"/>
        </a:p>
      </dgm:t>
    </dgm:pt>
    <dgm:pt modelId="{F1A16E7C-3438-4359-8551-8F32DAA6F66C}" type="pres">
      <dgm:prSet presAssocID="{CF9718E8-B880-4F38-8C93-7CABAB924679}" presName="rootConnector3" presStyleLbl="asst3" presStyleIdx="4" presStyleCnt="5"/>
      <dgm:spPr/>
      <dgm:t>
        <a:bodyPr/>
        <a:lstStyle/>
        <a:p>
          <a:endParaRPr lang="en-US"/>
        </a:p>
      </dgm:t>
    </dgm:pt>
    <dgm:pt modelId="{F96F4E26-CCBF-46FE-A72F-B7D48A6E256D}" type="pres">
      <dgm:prSet presAssocID="{CF9718E8-B880-4F38-8C93-7CABAB924679}" presName="hierChild6" presStyleCnt="0"/>
      <dgm:spPr/>
    </dgm:pt>
    <dgm:pt modelId="{933CB1BA-19EB-4E89-AD9A-DE2514D6DD42}" type="pres">
      <dgm:prSet presAssocID="{CF9718E8-B880-4F38-8C93-7CABAB924679}" presName="hierChild7" presStyleCnt="0"/>
      <dgm:spPr/>
    </dgm:pt>
    <dgm:pt modelId="{CBB286AF-EA8F-4120-A362-D627C318A0BC}" type="pres">
      <dgm:prSet presAssocID="{46045B94-CD50-4999-8F57-6D939DE0614A}" presName="hierChild5" presStyleCnt="0"/>
      <dgm:spPr/>
    </dgm:pt>
    <dgm:pt modelId="{85FCCAAE-8ED2-45EF-A76C-F3E752E92511}" type="pres">
      <dgm:prSet presAssocID="{AB480DA1-8C44-4DBC-8FB4-F73A0B68E0DB}" presName="hierChild3" presStyleCnt="0"/>
      <dgm:spPr/>
    </dgm:pt>
  </dgm:ptLst>
  <dgm:cxnLst>
    <dgm:cxn modelId="{617AE2E8-872A-45D5-910A-0A0E1EED24E6}" type="presOf" srcId="{46045B94-CD50-4999-8F57-6D939DE0614A}" destId="{84952F64-08B5-4089-9533-5E3CF3B90E25}" srcOrd="0" destOrd="0" presId="urn:microsoft.com/office/officeart/2005/8/layout/orgChart1"/>
    <dgm:cxn modelId="{A279CC45-DCB1-4BF0-9E22-C45A4AB829FB}" srcId="{6C6D9A35-3BD7-4ED4-97D5-53B94716B54B}" destId="{7A50F5DD-9999-4DB8-83AB-CF18C214CFE0}" srcOrd="0" destOrd="0" parTransId="{74F61E65-8F00-45E9-BDA7-38024994E1ED}" sibTransId="{8D9D485F-8A90-4418-A415-70895CA888D3}"/>
    <dgm:cxn modelId="{D80EAB6D-D1C7-4FEA-9B1B-FDEE5F748B86}" type="presOf" srcId="{21B64A85-81A3-4C05-8614-9F77F0373DE8}" destId="{21F10632-2E2B-4504-888D-F948CF31FD56}" srcOrd="0" destOrd="0" presId="urn:microsoft.com/office/officeart/2005/8/layout/orgChart1"/>
    <dgm:cxn modelId="{CBC40002-4CFD-4F59-AB61-D5246B628CDC}" type="presOf" srcId="{74F61E65-8F00-45E9-BDA7-38024994E1ED}" destId="{926A62B6-A138-43E6-B3BB-F3E15043B840}" srcOrd="0" destOrd="0" presId="urn:microsoft.com/office/officeart/2005/8/layout/orgChart1"/>
    <dgm:cxn modelId="{4DC786A5-2B7D-41A9-95E3-FF13A2958C9D}" type="presOf" srcId="{06A6CFE3-56AB-4341-81D3-69CAB198F1C8}" destId="{DFEC4886-6799-42AE-AAD6-BB0B300F3D96}" srcOrd="0" destOrd="0" presId="urn:microsoft.com/office/officeart/2005/8/layout/orgChart1"/>
    <dgm:cxn modelId="{762A74BE-F019-4512-972A-B44A50F7AE16}" type="presOf" srcId="{7A50F5DD-9999-4DB8-83AB-CF18C214CFE0}" destId="{4C14BA9C-F016-4A4F-9D1E-EEE69D1E06A5}" srcOrd="1" destOrd="0" presId="urn:microsoft.com/office/officeart/2005/8/layout/orgChart1"/>
    <dgm:cxn modelId="{F8ACA790-06A5-485D-802C-356CACFA0B70}" type="presOf" srcId="{FD831B65-E420-4812-B760-C0B21F7052B3}" destId="{F38E90B9-29B1-47BF-912B-146610D9A7BF}" srcOrd="0" destOrd="0" presId="urn:microsoft.com/office/officeart/2005/8/layout/orgChart1"/>
    <dgm:cxn modelId="{268E5386-5F0E-492E-85C8-44EB762982C5}" srcId="{06A6CFE3-56AB-4341-81D3-69CAB198F1C8}" destId="{AB480DA1-8C44-4DBC-8FB4-F73A0B68E0DB}" srcOrd="0" destOrd="0" parTransId="{7F9A99C9-F42E-45EA-8076-746D03963D56}" sibTransId="{3EAC7C3A-D4E0-486B-9D8E-C38613455C8D}"/>
    <dgm:cxn modelId="{414B2111-F833-4B2C-BF09-82CB28DA8AC3}" type="presOf" srcId="{AB480DA1-8C44-4DBC-8FB4-F73A0B68E0DB}" destId="{D8AC9327-A1CD-4564-BC94-649FD929C1EF}" srcOrd="0" destOrd="0" presId="urn:microsoft.com/office/officeart/2005/8/layout/orgChart1"/>
    <dgm:cxn modelId="{28A4DAD1-6675-4EA6-BAAE-DAC5F2B11987}" type="presOf" srcId="{E3B24DD7-4D9F-4E03-8070-44EA8052BD36}" destId="{71236207-7073-4AB1-B0BD-317897E9E1FB}" srcOrd="1" destOrd="0" presId="urn:microsoft.com/office/officeart/2005/8/layout/orgChart1"/>
    <dgm:cxn modelId="{BE2E3AE6-D702-4912-A59B-08EE4300E9CD}" srcId="{7A50F5DD-9999-4DB8-83AB-CF18C214CFE0}" destId="{BB1AB40E-4B73-4DB3-AC27-9A8246BE4299}" srcOrd="3" destOrd="0" parTransId="{7D7CD181-F682-4B07-B8FE-9E645CFCA1B6}" sibTransId="{29EED311-BD23-44FD-9909-D3A833A9FCA7}"/>
    <dgm:cxn modelId="{11BDCC6B-AE6F-4098-AD09-07B7EA59D1F7}" type="presOf" srcId="{E3B24DD7-4D9F-4E03-8070-44EA8052BD36}" destId="{37B45E00-D263-499F-8D86-21794F02252E}" srcOrd="0" destOrd="0" presId="urn:microsoft.com/office/officeart/2005/8/layout/orgChart1"/>
    <dgm:cxn modelId="{03A82B01-EA1D-4780-9ECE-542A711FD113}" srcId="{6C6D9A35-3BD7-4ED4-97D5-53B94716B54B}" destId="{5D25A3C5-BC07-486A-90BE-798A7F8DA913}" srcOrd="2" destOrd="0" parTransId="{68AA9F1F-B500-439E-86C0-15BA70D736C7}" sibTransId="{4B02ACF8-350A-41E7-BA9C-00B468B38398}"/>
    <dgm:cxn modelId="{C5FEFFFF-2BF3-436F-9AE8-F2A2F7480F25}" type="presOf" srcId="{6C6D9A35-3BD7-4ED4-97D5-53B94716B54B}" destId="{98C8D6F5-283D-4DE4-950F-4DEB97D2DA40}" srcOrd="0" destOrd="0" presId="urn:microsoft.com/office/officeart/2005/8/layout/orgChart1"/>
    <dgm:cxn modelId="{02A1F9D0-A417-4803-8DE0-A95F64EB1786}" type="presOf" srcId="{0A810293-017E-4A28-8A84-37CABC2368B8}" destId="{FC9F3623-0C51-4DA1-A486-2E7DF44383B7}" srcOrd="0" destOrd="0" presId="urn:microsoft.com/office/officeart/2005/8/layout/orgChart1"/>
    <dgm:cxn modelId="{3C2FC8ED-6F7E-4F07-8260-E84BEBAF8F7B}" type="presOf" srcId="{7A50F5DD-9999-4DB8-83AB-CF18C214CFE0}" destId="{A433EEF3-4D1F-4EEC-BC38-9A370736E56F}" srcOrd="0" destOrd="0" presId="urn:microsoft.com/office/officeart/2005/8/layout/orgChart1"/>
    <dgm:cxn modelId="{BF984680-09C8-418C-B51D-CB4ED91EAACF}" type="presOf" srcId="{75F17307-C40D-4156-8DCF-DDA631F6A329}" destId="{72D3A510-B05E-4F98-A7AB-7D37CF2C660B}" srcOrd="1" destOrd="0" presId="urn:microsoft.com/office/officeart/2005/8/layout/orgChart1"/>
    <dgm:cxn modelId="{7DC79105-550D-43B8-AE4D-1E11840377AF}" type="presOf" srcId="{0873BD33-9E82-4C1C-8DE0-40AA363CD058}" destId="{7302F37A-2871-449C-8D36-2AE2DCF2D38F}" srcOrd="0" destOrd="0" presId="urn:microsoft.com/office/officeart/2005/8/layout/orgChart1"/>
    <dgm:cxn modelId="{AF22447F-DCD6-4500-B58A-BE9BA26B5534}" type="presOf" srcId="{CF9718E8-B880-4F38-8C93-7CABAB924679}" destId="{AD7124AF-0DB0-41FC-8AFB-3E05E65E1EA0}" srcOrd="0" destOrd="0" presId="urn:microsoft.com/office/officeart/2005/8/layout/orgChart1"/>
    <dgm:cxn modelId="{76A7B42C-B591-4649-88C2-24A750E5975B}" type="presOf" srcId="{CD7E07FA-63E7-4590-AAE9-4B2FE665E5CD}" destId="{48AB09D7-3B3C-46D9-93A9-A77030653FC6}" srcOrd="0" destOrd="0" presId="urn:microsoft.com/office/officeart/2005/8/layout/orgChart1"/>
    <dgm:cxn modelId="{5915C978-9625-45B7-AB4B-3F215712E2DC}" srcId="{7A50F5DD-9999-4DB8-83AB-CF18C214CFE0}" destId="{75F17307-C40D-4156-8DCF-DDA631F6A329}" srcOrd="6" destOrd="0" parTransId="{CD7E07FA-63E7-4590-AAE9-4B2FE665E5CD}" sibTransId="{36A2344A-7438-4ECF-89A3-E1037CB957F4}"/>
    <dgm:cxn modelId="{7D981B11-A90F-4919-8000-B64D56A8B26A}" type="presOf" srcId="{46045B94-CD50-4999-8F57-6D939DE0614A}" destId="{26CE8987-195A-4E01-ABE2-5F851B5FD8D0}" srcOrd="1" destOrd="0" presId="urn:microsoft.com/office/officeart/2005/8/layout/orgChart1"/>
    <dgm:cxn modelId="{4C5E5D04-9505-426A-8914-38FE397077D5}" type="presOf" srcId="{D65D6A92-A415-4492-B869-1ADBA7D957B3}" destId="{5B1E7A2E-E130-4253-B1FD-9A41FC58F951}" srcOrd="0" destOrd="0" presId="urn:microsoft.com/office/officeart/2005/8/layout/orgChart1"/>
    <dgm:cxn modelId="{AB85176C-2B6E-4EB6-AA2E-B7C44BF6C850}" srcId="{7A50F5DD-9999-4DB8-83AB-CF18C214CFE0}" destId="{21B64A85-81A3-4C05-8614-9F77F0373DE8}" srcOrd="0" destOrd="0" parTransId="{0873BD33-9E82-4C1C-8DE0-40AA363CD058}" sibTransId="{04630C80-2C30-443A-8180-D30B805D056A}"/>
    <dgm:cxn modelId="{CAF855E4-4CB9-4C8D-9D21-5DE10D5D33B3}" type="presOf" srcId="{42905936-4C66-4E7E-9C67-23B48D62602A}" destId="{D3FBB99E-409D-44D9-B4BC-3F34A2B787C5}" srcOrd="1" destOrd="0" presId="urn:microsoft.com/office/officeart/2005/8/layout/orgChart1"/>
    <dgm:cxn modelId="{C034C89C-ECAD-475B-AC35-3D7636E5878F}" type="presOf" srcId="{CAE3FD96-685F-4E49-87BF-8B95E3F6783D}" destId="{7D56C2A2-A0C4-4E78-BFDF-37C9D35A9FFF}" srcOrd="0" destOrd="0" presId="urn:microsoft.com/office/officeart/2005/8/layout/orgChart1"/>
    <dgm:cxn modelId="{F4516318-DAB3-4583-BC0F-F6FA8F0F5E00}" type="presOf" srcId="{A553394A-F784-42A4-95B5-D423C7E3E938}" destId="{715A8457-C490-472C-ADC2-F1E583E54AE7}" srcOrd="1" destOrd="0" presId="urn:microsoft.com/office/officeart/2005/8/layout/orgChart1"/>
    <dgm:cxn modelId="{D313E21E-126A-4A24-BDBB-3FAB93C5BC08}" type="presOf" srcId="{21B64A85-81A3-4C05-8614-9F77F0373DE8}" destId="{00BBA8C9-12FE-43CE-BA79-670972F48FEE}" srcOrd="1" destOrd="0" presId="urn:microsoft.com/office/officeart/2005/8/layout/orgChart1"/>
    <dgm:cxn modelId="{7C15212B-C5CB-4D8D-8DBD-DDC600A0C188}" type="presOf" srcId="{A553394A-F784-42A4-95B5-D423C7E3E938}" destId="{3B81453C-AE5C-4764-8528-127B2F4D0C79}" srcOrd="0" destOrd="0" presId="urn:microsoft.com/office/officeart/2005/8/layout/orgChart1"/>
    <dgm:cxn modelId="{3AFB60A7-F5F5-4B1D-B7D2-F22814672797}" type="presOf" srcId="{AB480DA1-8C44-4DBC-8FB4-F73A0B68E0DB}" destId="{2EF05AB1-F347-4F00-BD05-1A5EB4F1995C}" srcOrd="1" destOrd="0" presId="urn:microsoft.com/office/officeart/2005/8/layout/orgChart1"/>
    <dgm:cxn modelId="{31B06058-8ACA-48E3-9054-0924431789B7}" type="presOf" srcId="{D1125916-4DF9-4AF5-AF09-16F41144A6FF}" destId="{DE43C67F-1119-4D79-83FA-FF656A43919C}" srcOrd="1" destOrd="0" presId="urn:microsoft.com/office/officeart/2005/8/layout/orgChart1"/>
    <dgm:cxn modelId="{0D4E06AE-924C-4BD5-88E8-C8A964A8474A}" srcId="{7A50F5DD-9999-4DB8-83AB-CF18C214CFE0}" destId="{2850DDAE-412A-45E2-9F8A-8C7BC78073A2}" srcOrd="2" destOrd="0" parTransId="{D65D6A92-A415-4492-B869-1ADBA7D957B3}" sibTransId="{FDAA8A92-9029-42E8-B3E6-26B849E0169D}"/>
    <dgm:cxn modelId="{463746D2-F604-4E51-80CF-8E4396F529C4}" type="presOf" srcId="{5D25A3C5-BC07-486A-90BE-798A7F8DA913}" destId="{C33FA1EF-6107-451F-98DD-131EA369ED42}" srcOrd="0" destOrd="0" presId="urn:microsoft.com/office/officeart/2005/8/layout/orgChart1"/>
    <dgm:cxn modelId="{50078B89-405E-43C4-966E-EA71FDF1DD3E}" type="presOf" srcId="{5D25A3C5-BC07-486A-90BE-798A7F8DA913}" destId="{939E23C8-10AE-4903-B77D-E755BB8F8BA7}" srcOrd="1" destOrd="0" presId="urn:microsoft.com/office/officeart/2005/8/layout/orgChart1"/>
    <dgm:cxn modelId="{779DA469-E4F3-4534-9114-BE355A429B16}" srcId="{6C6D9A35-3BD7-4ED4-97D5-53B94716B54B}" destId="{D1125916-4DF9-4AF5-AF09-16F41144A6FF}" srcOrd="3" destOrd="0" parTransId="{85D96211-FDBF-488A-B688-02A87C75294E}" sibTransId="{A3C7BEFC-A80F-4AB5-A818-7B09B9289D3E}"/>
    <dgm:cxn modelId="{F506EC01-D17F-42D9-8138-29799B409EDB}" srcId="{7A50F5DD-9999-4DB8-83AB-CF18C214CFE0}" destId="{E3B24DD7-4D9F-4E03-8070-44EA8052BD36}" srcOrd="5" destOrd="0" parTransId="{DCA81A83-0DC6-4A8D-BB3A-73356E97CDD3}" sibTransId="{88AC1AE1-2137-4556-82CC-53AE7AF98F22}"/>
    <dgm:cxn modelId="{3254E16F-4ED6-47F6-9CE0-3ACB4B3ABEC1}" type="presOf" srcId="{68AA9F1F-B500-439E-86C0-15BA70D736C7}" destId="{58D39051-EB5E-48A8-B986-4D97BE64E513}" srcOrd="0" destOrd="0" presId="urn:microsoft.com/office/officeart/2005/8/layout/orgChart1"/>
    <dgm:cxn modelId="{EE866BFF-AE62-44E4-8C7F-CF01EFC64B48}" type="presOf" srcId="{42905936-4C66-4E7E-9C67-23B48D62602A}" destId="{CED1C35C-5BEE-47C0-ACEE-C8A777125BD7}" srcOrd="0" destOrd="0" presId="urn:microsoft.com/office/officeart/2005/8/layout/orgChart1"/>
    <dgm:cxn modelId="{616AC512-48B5-4A33-B30D-24B73DB74B2F}" srcId="{7A50F5DD-9999-4DB8-83AB-CF18C214CFE0}" destId="{3F7B62AD-1B33-40E9-B179-EAE397DDBB57}" srcOrd="1" destOrd="0" parTransId="{9BCE8671-8642-41A6-BCD0-077465CFEEDF}" sibTransId="{4B9AD0FE-0587-463C-9FBA-A3873C2B80B1}"/>
    <dgm:cxn modelId="{041FA539-5A08-4542-8E9F-AD5A74F51595}" type="presOf" srcId="{3F7B62AD-1B33-40E9-B179-EAE397DDBB57}" destId="{2D8EFD22-5BED-4AFC-9563-B13780E1FA45}" srcOrd="1" destOrd="0" presId="urn:microsoft.com/office/officeart/2005/8/layout/orgChart1"/>
    <dgm:cxn modelId="{1BAD3862-2D9A-4454-B423-9A08DDA6B84E}" type="presOf" srcId="{DCA81A83-0DC6-4A8D-BB3A-73356E97CDD3}" destId="{0F7FB4EE-EE7F-432B-B46D-E2600724AA7D}" srcOrd="0" destOrd="0" presId="urn:microsoft.com/office/officeart/2005/8/layout/orgChart1"/>
    <dgm:cxn modelId="{04C9D25F-CFC2-4983-B950-2BB3CD768286}" srcId="{46045B94-CD50-4999-8F57-6D939DE0614A}" destId="{6C6D9A35-3BD7-4ED4-97D5-53B94716B54B}" srcOrd="0" destOrd="0" parTransId="{FD831B65-E420-4812-B760-C0B21F7052B3}" sibTransId="{D9EE8C63-1F61-48C0-91A2-3799E8175BC8}"/>
    <dgm:cxn modelId="{D84BA976-29EE-49FC-AC30-90777577B80F}" srcId="{6C6D9A35-3BD7-4ED4-97D5-53B94716B54B}" destId="{42905936-4C66-4E7E-9C67-23B48D62602A}" srcOrd="1" destOrd="0" parTransId="{CAE3FD96-685F-4E49-87BF-8B95E3F6783D}" sibTransId="{F4FD0B06-20AD-429D-BF70-044ADB2806AA}"/>
    <dgm:cxn modelId="{86E9170E-D7CF-477C-9508-C3A1B0194F9F}" type="presOf" srcId="{BB1AB40E-4B73-4DB3-AC27-9A8246BE4299}" destId="{0541663A-E6ED-469D-8AAE-0CF20E78670B}" srcOrd="0" destOrd="0" presId="urn:microsoft.com/office/officeart/2005/8/layout/orgChart1"/>
    <dgm:cxn modelId="{B64C1846-0E30-45CB-8CC0-0114CE899E1B}" type="presOf" srcId="{CF9718E8-B880-4F38-8C93-7CABAB924679}" destId="{F1A16E7C-3438-4359-8551-8F32DAA6F66C}" srcOrd="1" destOrd="0" presId="urn:microsoft.com/office/officeart/2005/8/layout/orgChart1"/>
    <dgm:cxn modelId="{1CBE4AA2-6B50-4CE7-8DA8-4D2FA1F990A7}" type="presOf" srcId="{2850DDAE-412A-45E2-9F8A-8C7BC78073A2}" destId="{2E82355F-E26B-4EAD-9265-2E12D806E13F}" srcOrd="1" destOrd="0" presId="urn:microsoft.com/office/officeart/2005/8/layout/orgChart1"/>
    <dgm:cxn modelId="{80EFA91F-382D-4846-9AF0-FADF9D6B7879}" type="presOf" srcId="{9BCE8671-8642-41A6-BCD0-077465CFEEDF}" destId="{C4527DC5-2A01-4007-A7F8-C8099E1709B0}" srcOrd="0" destOrd="0" presId="urn:microsoft.com/office/officeart/2005/8/layout/orgChart1"/>
    <dgm:cxn modelId="{63C403FA-D11D-4081-9667-BF942C42CF72}" srcId="{7A50F5DD-9999-4DB8-83AB-CF18C214CFE0}" destId="{A553394A-F784-42A4-95B5-D423C7E3E938}" srcOrd="4" destOrd="0" parTransId="{34AB2BE8-98C1-4A2F-ABA6-68FFF8CAA69C}" sibTransId="{8F2F401F-4149-4D34-AEE3-4C531A1DBFA1}"/>
    <dgm:cxn modelId="{3281A857-016B-45AA-85CC-A56754C4BB9E}" srcId="{AB480DA1-8C44-4DBC-8FB4-F73A0B68E0DB}" destId="{46045B94-CD50-4999-8F57-6D939DE0614A}" srcOrd="0" destOrd="0" parTransId="{61FCA5F0-9E65-41A4-B97D-9744107AED9A}" sibTransId="{399A7916-B3F7-4B22-A241-7BB13EBEEC77}"/>
    <dgm:cxn modelId="{1DB59EFE-7544-4674-B8D4-5853825C50CB}" type="presOf" srcId="{3F7B62AD-1B33-40E9-B179-EAE397DDBB57}" destId="{E189EE17-CFAF-4B64-8D9B-00B321294134}" srcOrd="0" destOrd="0" presId="urn:microsoft.com/office/officeart/2005/8/layout/orgChart1"/>
    <dgm:cxn modelId="{8196236E-037A-48B1-9061-95AA01C8000F}" type="presOf" srcId="{75F17307-C40D-4156-8DCF-DDA631F6A329}" destId="{9507D47E-B424-404C-8CEA-15A01B3AB8BE}" srcOrd="0" destOrd="0" presId="urn:microsoft.com/office/officeart/2005/8/layout/orgChart1"/>
    <dgm:cxn modelId="{1A1100C7-D548-47AF-BBEA-78040F1DB3F4}" type="presOf" srcId="{61FCA5F0-9E65-41A4-B97D-9744107AED9A}" destId="{28C0602B-2C87-4861-90B6-0B5DB7FBF216}" srcOrd="0" destOrd="0" presId="urn:microsoft.com/office/officeart/2005/8/layout/orgChart1"/>
    <dgm:cxn modelId="{D499C6F5-0DDE-4511-BB30-A96868DF5A99}" srcId="{6C6D9A35-3BD7-4ED4-97D5-53B94716B54B}" destId="{CF9718E8-B880-4F38-8C93-7CABAB924679}" srcOrd="4" destOrd="0" parTransId="{0A810293-017E-4A28-8A84-37CABC2368B8}" sibTransId="{D1F4D6A4-BCAC-43C6-92C7-D566F10A0EE8}"/>
    <dgm:cxn modelId="{65D87FC5-0F87-4A11-BD6F-068BAFE56408}" type="presOf" srcId="{85D96211-FDBF-488A-B688-02A87C75294E}" destId="{67A239B1-1C87-455D-AD97-F1F184141030}" srcOrd="0" destOrd="0" presId="urn:microsoft.com/office/officeart/2005/8/layout/orgChart1"/>
    <dgm:cxn modelId="{5B236F99-3E5E-49FE-8C14-78CF3E43CFFA}" type="presOf" srcId="{6C6D9A35-3BD7-4ED4-97D5-53B94716B54B}" destId="{15BB3392-9F1F-40E4-BC70-88A44E8FFA7B}" srcOrd="1" destOrd="0" presId="urn:microsoft.com/office/officeart/2005/8/layout/orgChart1"/>
    <dgm:cxn modelId="{B5FC1666-02B1-448E-B502-D505A33AEA67}" type="presOf" srcId="{D1125916-4DF9-4AF5-AF09-16F41144A6FF}" destId="{927D1110-9627-4013-B995-032C20684B77}" srcOrd="0" destOrd="0" presId="urn:microsoft.com/office/officeart/2005/8/layout/orgChart1"/>
    <dgm:cxn modelId="{7AD5AD7E-2355-4612-9B27-67A25E4BEC73}" type="presOf" srcId="{BB1AB40E-4B73-4DB3-AC27-9A8246BE4299}" destId="{FFCB7DDF-5B4B-4D53-824A-E954FAB25298}" srcOrd="1" destOrd="0" presId="urn:microsoft.com/office/officeart/2005/8/layout/orgChart1"/>
    <dgm:cxn modelId="{5F12023B-9C1E-4708-B95C-C55CF6FCF5F7}" type="presOf" srcId="{34AB2BE8-98C1-4A2F-ABA6-68FFF8CAA69C}" destId="{CFA5D0EC-E9F9-472D-B931-98D48D7D6B6F}" srcOrd="0" destOrd="0" presId="urn:microsoft.com/office/officeart/2005/8/layout/orgChart1"/>
    <dgm:cxn modelId="{B7254A62-557A-4D18-9019-E3AF0827431F}" type="presOf" srcId="{7D7CD181-F682-4B07-B8FE-9E645CFCA1B6}" destId="{3C7EFF7C-037F-4BF1-89BD-8F5AD93E01A5}" srcOrd="0" destOrd="0" presId="urn:microsoft.com/office/officeart/2005/8/layout/orgChart1"/>
    <dgm:cxn modelId="{8208768F-C3D6-4456-A931-DDEB8FAB083A}" type="presOf" srcId="{2850DDAE-412A-45E2-9F8A-8C7BC78073A2}" destId="{9A9EA894-6A88-4C41-AB85-A66CFBB2A188}" srcOrd="0" destOrd="0" presId="urn:microsoft.com/office/officeart/2005/8/layout/orgChart1"/>
    <dgm:cxn modelId="{3B1EE891-204B-413B-AA1E-B0C4085747E7}" type="presParOf" srcId="{DFEC4886-6799-42AE-AAD6-BB0B300F3D96}" destId="{4B165306-BB8F-4404-A388-16F4052E1F36}" srcOrd="0" destOrd="0" presId="urn:microsoft.com/office/officeart/2005/8/layout/orgChart1"/>
    <dgm:cxn modelId="{49850F14-A3FD-4E5C-8691-3B4DEFF730C9}" type="presParOf" srcId="{4B165306-BB8F-4404-A388-16F4052E1F36}" destId="{85AAB2F9-670D-432A-98C6-4F3BCCD84D17}" srcOrd="0" destOrd="0" presId="urn:microsoft.com/office/officeart/2005/8/layout/orgChart1"/>
    <dgm:cxn modelId="{5341FE67-4DA1-4A30-856A-4358AC2D6BE2}" type="presParOf" srcId="{85AAB2F9-670D-432A-98C6-4F3BCCD84D17}" destId="{D8AC9327-A1CD-4564-BC94-649FD929C1EF}" srcOrd="0" destOrd="0" presId="urn:microsoft.com/office/officeart/2005/8/layout/orgChart1"/>
    <dgm:cxn modelId="{3C9943DA-CF44-4A51-B462-BE414DC94753}" type="presParOf" srcId="{85AAB2F9-670D-432A-98C6-4F3BCCD84D17}" destId="{2EF05AB1-F347-4F00-BD05-1A5EB4F1995C}" srcOrd="1" destOrd="0" presId="urn:microsoft.com/office/officeart/2005/8/layout/orgChart1"/>
    <dgm:cxn modelId="{23EFF789-617C-431E-B539-0476EB3F0D24}" type="presParOf" srcId="{4B165306-BB8F-4404-A388-16F4052E1F36}" destId="{86B0845B-3A26-4324-9771-6FEE852C48D3}" srcOrd="1" destOrd="0" presId="urn:microsoft.com/office/officeart/2005/8/layout/orgChart1"/>
    <dgm:cxn modelId="{70A23C42-7DDC-4192-B3E8-79307488EB4C}" type="presParOf" srcId="{86B0845B-3A26-4324-9771-6FEE852C48D3}" destId="{28C0602B-2C87-4861-90B6-0B5DB7FBF216}" srcOrd="0" destOrd="0" presId="urn:microsoft.com/office/officeart/2005/8/layout/orgChart1"/>
    <dgm:cxn modelId="{C2346DEC-9C2A-4824-8D30-78CE14FCF8D1}" type="presParOf" srcId="{86B0845B-3A26-4324-9771-6FEE852C48D3}" destId="{F1BA5AD5-DC08-4F65-A5CF-22AD835BA5C6}" srcOrd="1" destOrd="0" presId="urn:microsoft.com/office/officeart/2005/8/layout/orgChart1"/>
    <dgm:cxn modelId="{EDFFA89A-08E8-400E-96C7-5C5002FD4064}" type="presParOf" srcId="{F1BA5AD5-DC08-4F65-A5CF-22AD835BA5C6}" destId="{1DCA13B4-DC4A-4687-B735-AA8EEF180106}" srcOrd="0" destOrd="0" presId="urn:microsoft.com/office/officeart/2005/8/layout/orgChart1"/>
    <dgm:cxn modelId="{BB29A7AE-9BF6-474B-A9F7-1593B07DBF41}" type="presParOf" srcId="{1DCA13B4-DC4A-4687-B735-AA8EEF180106}" destId="{84952F64-08B5-4089-9533-5E3CF3B90E25}" srcOrd="0" destOrd="0" presId="urn:microsoft.com/office/officeart/2005/8/layout/orgChart1"/>
    <dgm:cxn modelId="{FD6BDC6A-4A95-4E59-BF37-AECC8FD7951D}" type="presParOf" srcId="{1DCA13B4-DC4A-4687-B735-AA8EEF180106}" destId="{26CE8987-195A-4E01-ABE2-5F851B5FD8D0}" srcOrd="1" destOrd="0" presId="urn:microsoft.com/office/officeart/2005/8/layout/orgChart1"/>
    <dgm:cxn modelId="{3CC676A8-CC22-4C39-A3E6-451C9238D8F8}" type="presParOf" srcId="{F1BA5AD5-DC08-4F65-A5CF-22AD835BA5C6}" destId="{ECF0A66F-1E3F-4B32-9F47-6BD123B97570}" srcOrd="1" destOrd="0" presId="urn:microsoft.com/office/officeart/2005/8/layout/orgChart1"/>
    <dgm:cxn modelId="{F080C708-1FA6-4DAE-B6C3-405A1A38BDAE}" type="presParOf" srcId="{ECF0A66F-1E3F-4B32-9F47-6BD123B97570}" destId="{F38E90B9-29B1-47BF-912B-146610D9A7BF}" srcOrd="0" destOrd="0" presId="urn:microsoft.com/office/officeart/2005/8/layout/orgChart1"/>
    <dgm:cxn modelId="{8A378141-5197-4EC0-B366-FBDB65E8C4E5}" type="presParOf" srcId="{ECF0A66F-1E3F-4B32-9F47-6BD123B97570}" destId="{C9F73EFE-9AC7-4BA7-ACC1-932AF8A42705}" srcOrd="1" destOrd="0" presId="urn:microsoft.com/office/officeart/2005/8/layout/orgChart1"/>
    <dgm:cxn modelId="{E4D5CB3F-2A30-4095-8DEF-BA05915A5215}" type="presParOf" srcId="{C9F73EFE-9AC7-4BA7-ACC1-932AF8A42705}" destId="{BE877826-3D98-491F-A94C-B2356C0D15D8}" srcOrd="0" destOrd="0" presId="urn:microsoft.com/office/officeart/2005/8/layout/orgChart1"/>
    <dgm:cxn modelId="{CC0F3945-461C-4689-B1B7-A57D5A78D8D1}" type="presParOf" srcId="{BE877826-3D98-491F-A94C-B2356C0D15D8}" destId="{98C8D6F5-283D-4DE4-950F-4DEB97D2DA40}" srcOrd="0" destOrd="0" presId="urn:microsoft.com/office/officeart/2005/8/layout/orgChart1"/>
    <dgm:cxn modelId="{2A2F9891-B5D8-4C44-8B08-1316E40EF6A2}" type="presParOf" srcId="{BE877826-3D98-491F-A94C-B2356C0D15D8}" destId="{15BB3392-9F1F-40E4-BC70-88A44E8FFA7B}" srcOrd="1" destOrd="0" presId="urn:microsoft.com/office/officeart/2005/8/layout/orgChart1"/>
    <dgm:cxn modelId="{9EE57FD6-62F6-467E-8A7B-361FDD0F9DFB}" type="presParOf" srcId="{C9F73EFE-9AC7-4BA7-ACC1-932AF8A42705}" destId="{5781E3B1-ECD5-41CD-8746-32934A1D506B}" srcOrd="1" destOrd="0" presId="urn:microsoft.com/office/officeart/2005/8/layout/orgChart1"/>
    <dgm:cxn modelId="{696DC7DA-7885-4C50-A430-1CB094175FD7}" type="presParOf" srcId="{C9F73EFE-9AC7-4BA7-ACC1-932AF8A42705}" destId="{BA9A17DF-9917-41C2-9624-D03395E33B18}" srcOrd="2" destOrd="0" presId="urn:microsoft.com/office/officeart/2005/8/layout/orgChart1"/>
    <dgm:cxn modelId="{4525F686-B7FB-49BD-8AFA-42E9AD92F3B0}" type="presParOf" srcId="{BA9A17DF-9917-41C2-9624-D03395E33B18}" destId="{926A62B6-A138-43E6-B3BB-F3E15043B840}" srcOrd="0" destOrd="0" presId="urn:microsoft.com/office/officeart/2005/8/layout/orgChart1"/>
    <dgm:cxn modelId="{85BC1358-1631-4A7B-A7EC-9304F7630B8F}" type="presParOf" srcId="{BA9A17DF-9917-41C2-9624-D03395E33B18}" destId="{87172817-98D6-4EB6-97F2-80EF179CDF6E}" srcOrd="1" destOrd="0" presId="urn:microsoft.com/office/officeart/2005/8/layout/orgChart1"/>
    <dgm:cxn modelId="{55A8041C-83D9-4930-A9D3-FD65BFF24A11}" type="presParOf" srcId="{87172817-98D6-4EB6-97F2-80EF179CDF6E}" destId="{46D7DAD0-BF20-4940-99D2-F803846A079D}" srcOrd="0" destOrd="0" presId="urn:microsoft.com/office/officeart/2005/8/layout/orgChart1"/>
    <dgm:cxn modelId="{BF7996F3-5BF9-469B-A307-A7DCAC356986}" type="presParOf" srcId="{46D7DAD0-BF20-4940-99D2-F803846A079D}" destId="{A433EEF3-4D1F-4EEC-BC38-9A370736E56F}" srcOrd="0" destOrd="0" presId="urn:microsoft.com/office/officeart/2005/8/layout/orgChart1"/>
    <dgm:cxn modelId="{A8A976CD-C45D-4067-9298-B2FB2AC252C1}" type="presParOf" srcId="{46D7DAD0-BF20-4940-99D2-F803846A079D}" destId="{4C14BA9C-F016-4A4F-9D1E-EEE69D1E06A5}" srcOrd="1" destOrd="0" presId="urn:microsoft.com/office/officeart/2005/8/layout/orgChart1"/>
    <dgm:cxn modelId="{1BB3A443-0745-487D-8F27-413CEB8182B8}" type="presParOf" srcId="{87172817-98D6-4EB6-97F2-80EF179CDF6E}" destId="{1F2828FD-EEC8-4B1D-9B90-11A32BC51EF0}" srcOrd="1" destOrd="0" presId="urn:microsoft.com/office/officeart/2005/8/layout/orgChart1"/>
    <dgm:cxn modelId="{108749AD-641D-40F4-87E9-2A109F2E7909}" type="presParOf" srcId="{1F2828FD-EEC8-4B1D-9B90-11A32BC51EF0}" destId="{7302F37A-2871-449C-8D36-2AE2DCF2D38F}" srcOrd="0" destOrd="0" presId="urn:microsoft.com/office/officeart/2005/8/layout/orgChart1"/>
    <dgm:cxn modelId="{90ECC4BD-284B-452A-BA50-5624FCB63974}" type="presParOf" srcId="{1F2828FD-EEC8-4B1D-9B90-11A32BC51EF0}" destId="{3C3FC1BB-B018-4F08-BD25-9CC11A967D5F}" srcOrd="1" destOrd="0" presId="urn:microsoft.com/office/officeart/2005/8/layout/orgChart1"/>
    <dgm:cxn modelId="{62FD6C4C-9B22-400E-81E9-D2666EC0746D}" type="presParOf" srcId="{3C3FC1BB-B018-4F08-BD25-9CC11A967D5F}" destId="{BE66CB55-38FD-466D-9D0F-86DB40EE0403}" srcOrd="0" destOrd="0" presId="urn:microsoft.com/office/officeart/2005/8/layout/orgChart1"/>
    <dgm:cxn modelId="{10395324-A2B9-4922-AC58-3E51DC6F82AC}" type="presParOf" srcId="{BE66CB55-38FD-466D-9D0F-86DB40EE0403}" destId="{21F10632-2E2B-4504-888D-F948CF31FD56}" srcOrd="0" destOrd="0" presId="urn:microsoft.com/office/officeart/2005/8/layout/orgChart1"/>
    <dgm:cxn modelId="{D9DA8B4E-95B0-4FBD-B4E0-1D87DCEAC32C}" type="presParOf" srcId="{BE66CB55-38FD-466D-9D0F-86DB40EE0403}" destId="{00BBA8C9-12FE-43CE-BA79-670972F48FEE}" srcOrd="1" destOrd="0" presId="urn:microsoft.com/office/officeart/2005/8/layout/orgChart1"/>
    <dgm:cxn modelId="{3357B1F8-37E6-4270-BFE8-AC10AF9C36FD}" type="presParOf" srcId="{3C3FC1BB-B018-4F08-BD25-9CC11A967D5F}" destId="{1C403704-42D4-460A-85EE-B52657261554}" srcOrd="1" destOrd="0" presId="urn:microsoft.com/office/officeart/2005/8/layout/orgChart1"/>
    <dgm:cxn modelId="{D443D48A-41B5-4E83-A86B-39D51B6047FD}" type="presParOf" srcId="{3C3FC1BB-B018-4F08-BD25-9CC11A967D5F}" destId="{46857E0A-E148-42E4-9C49-20AA727FE28E}" srcOrd="2" destOrd="0" presId="urn:microsoft.com/office/officeart/2005/8/layout/orgChart1"/>
    <dgm:cxn modelId="{AE960B2B-1E1A-4B67-8D48-A43182526FAD}" type="presParOf" srcId="{1F2828FD-EEC8-4B1D-9B90-11A32BC51EF0}" destId="{C4527DC5-2A01-4007-A7F8-C8099E1709B0}" srcOrd="2" destOrd="0" presId="urn:microsoft.com/office/officeart/2005/8/layout/orgChart1"/>
    <dgm:cxn modelId="{CF82E026-095D-4768-BC8F-5E8A4DE24D07}" type="presParOf" srcId="{1F2828FD-EEC8-4B1D-9B90-11A32BC51EF0}" destId="{9EEC9F13-ECBA-4EAA-89A4-1FEC9B920CAB}" srcOrd="3" destOrd="0" presId="urn:microsoft.com/office/officeart/2005/8/layout/orgChart1"/>
    <dgm:cxn modelId="{4773C710-91E4-4EBF-B360-47A2840C56A0}" type="presParOf" srcId="{9EEC9F13-ECBA-4EAA-89A4-1FEC9B920CAB}" destId="{7F29C39A-2FD7-45F7-BEBF-6A02682FD499}" srcOrd="0" destOrd="0" presId="urn:microsoft.com/office/officeart/2005/8/layout/orgChart1"/>
    <dgm:cxn modelId="{594E651D-2577-4A98-B612-6B76F809AB18}" type="presParOf" srcId="{7F29C39A-2FD7-45F7-BEBF-6A02682FD499}" destId="{E189EE17-CFAF-4B64-8D9B-00B321294134}" srcOrd="0" destOrd="0" presId="urn:microsoft.com/office/officeart/2005/8/layout/orgChart1"/>
    <dgm:cxn modelId="{340D7B25-AB11-4C03-9CC7-A9E77B4EAB7D}" type="presParOf" srcId="{7F29C39A-2FD7-45F7-BEBF-6A02682FD499}" destId="{2D8EFD22-5BED-4AFC-9563-B13780E1FA45}" srcOrd="1" destOrd="0" presId="urn:microsoft.com/office/officeart/2005/8/layout/orgChart1"/>
    <dgm:cxn modelId="{2A754FA5-8299-47C3-8567-5967183C777A}" type="presParOf" srcId="{9EEC9F13-ECBA-4EAA-89A4-1FEC9B920CAB}" destId="{670D4E3B-67F5-42E0-903C-9D5CDBD9AA56}" srcOrd="1" destOrd="0" presId="urn:microsoft.com/office/officeart/2005/8/layout/orgChart1"/>
    <dgm:cxn modelId="{395C372F-1484-46C1-B58D-B79FAE02E29B}" type="presParOf" srcId="{9EEC9F13-ECBA-4EAA-89A4-1FEC9B920CAB}" destId="{9DDF5279-38DA-451F-959D-B50EC7091C4F}" srcOrd="2" destOrd="0" presId="urn:microsoft.com/office/officeart/2005/8/layout/orgChart1"/>
    <dgm:cxn modelId="{4AB77A60-65B8-4FEE-897C-E13C1E1F47A3}" type="presParOf" srcId="{1F2828FD-EEC8-4B1D-9B90-11A32BC51EF0}" destId="{5B1E7A2E-E130-4253-B1FD-9A41FC58F951}" srcOrd="4" destOrd="0" presId="urn:microsoft.com/office/officeart/2005/8/layout/orgChart1"/>
    <dgm:cxn modelId="{5896DD5C-7CB1-462B-BB7A-AE23CB1B8C1D}" type="presParOf" srcId="{1F2828FD-EEC8-4B1D-9B90-11A32BC51EF0}" destId="{CD37EAC1-3CE6-4388-B1C0-F7ABC7704DB6}" srcOrd="5" destOrd="0" presId="urn:microsoft.com/office/officeart/2005/8/layout/orgChart1"/>
    <dgm:cxn modelId="{10F7BE48-9013-4DFC-9C65-CF669A68741A}" type="presParOf" srcId="{CD37EAC1-3CE6-4388-B1C0-F7ABC7704DB6}" destId="{A0A43503-0330-41F8-B4C7-77B5B076E458}" srcOrd="0" destOrd="0" presId="urn:microsoft.com/office/officeart/2005/8/layout/orgChart1"/>
    <dgm:cxn modelId="{2589BB8E-E404-4A3F-8390-AF4D49588E5C}" type="presParOf" srcId="{A0A43503-0330-41F8-B4C7-77B5B076E458}" destId="{9A9EA894-6A88-4C41-AB85-A66CFBB2A188}" srcOrd="0" destOrd="0" presId="urn:microsoft.com/office/officeart/2005/8/layout/orgChart1"/>
    <dgm:cxn modelId="{95F72D14-C2DD-4132-A86D-5A0B91F30497}" type="presParOf" srcId="{A0A43503-0330-41F8-B4C7-77B5B076E458}" destId="{2E82355F-E26B-4EAD-9265-2E12D806E13F}" srcOrd="1" destOrd="0" presId="urn:microsoft.com/office/officeart/2005/8/layout/orgChart1"/>
    <dgm:cxn modelId="{D31102CB-70E9-4930-AA14-D11C3AF71712}" type="presParOf" srcId="{CD37EAC1-3CE6-4388-B1C0-F7ABC7704DB6}" destId="{086A9E34-57CB-49E7-B1A7-8819E49BD1A3}" srcOrd="1" destOrd="0" presId="urn:microsoft.com/office/officeart/2005/8/layout/orgChart1"/>
    <dgm:cxn modelId="{15796DAF-DD2E-4A71-B7B8-BD2C0036E522}" type="presParOf" srcId="{CD37EAC1-3CE6-4388-B1C0-F7ABC7704DB6}" destId="{C31AED8D-8823-4372-A53E-F07DFFAD1340}" srcOrd="2" destOrd="0" presId="urn:microsoft.com/office/officeart/2005/8/layout/orgChart1"/>
    <dgm:cxn modelId="{E9748445-3DA6-41C5-9378-9747C98B4F18}" type="presParOf" srcId="{1F2828FD-EEC8-4B1D-9B90-11A32BC51EF0}" destId="{3C7EFF7C-037F-4BF1-89BD-8F5AD93E01A5}" srcOrd="6" destOrd="0" presId="urn:microsoft.com/office/officeart/2005/8/layout/orgChart1"/>
    <dgm:cxn modelId="{18107222-D179-47D9-A497-B70F75A69DD0}" type="presParOf" srcId="{1F2828FD-EEC8-4B1D-9B90-11A32BC51EF0}" destId="{49E5F9CC-06C7-458F-A1B2-F2BDF9A4D467}" srcOrd="7" destOrd="0" presId="urn:microsoft.com/office/officeart/2005/8/layout/orgChart1"/>
    <dgm:cxn modelId="{27CCD756-C1B7-458F-941D-D0D800E5138D}" type="presParOf" srcId="{49E5F9CC-06C7-458F-A1B2-F2BDF9A4D467}" destId="{52C84D71-9B28-4B78-9099-11902FC18496}" srcOrd="0" destOrd="0" presId="urn:microsoft.com/office/officeart/2005/8/layout/orgChart1"/>
    <dgm:cxn modelId="{EA9C5957-9D6D-43CA-8094-D69796D8F5AC}" type="presParOf" srcId="{52C84D71-9B28-4B78-9099-11902FC18496}" destId="{0541663A-E6ED-469D-8AAE-0CF20E78670B}" srcOrd="0" destOrd="0" presId="urn:microsoft.com/office/officeart/2005/8/layout/orgChart1"/>
    <dgm:cxn modelId="{DEA8CB73-5D65-4D9F-85D9-01E9F5872429}" type="presParOf" srcId="{52C84D71-9B28-4B78-9099-11902FC18496}" destId="{FFCB7DDF-5B4B-4D53-824A-E954FAB25298}" srcOrd="1" destOrd="0" presId="urn:microsoft.com/office/officeart/2005/8/layout/orgChart1"/>
    <dgm:cxn modelId="{2985794B-28E6-40FF-83AD-9AFF87FF8952}" type="presParOf" srcId="{49E5F9CC-06C7-458F-A1B2-F2BDF9A4D467}" destId="{6C09DBE6-DFEC-4526-8550-55A5445D61F0}" srcOrd="1" destOrd="0" presId="urn:microsoft.com/office/officeart/2005/8/layout/orgChart1"/>
    <dgm:cxn modelId="{601AD2E3-5E72-4300-BDBC-E4A109FB31FC}" type="presParOf" srcId="{49E5F9CC-06C7-458F-A1B2-F2BDF9A4D467}" destId="{E3E5A2F2-D3F7-4DEF-AD22-711B97C8CD3D}" srcOrd="2" destOrd="0" presId="urn:microsoft.com/office/officeart/2005/8/layout/orgChart1"/>
    <dgm:cxn modelId="{121BCDF4-4FCB-403D-BDB3-724F9D750663}" type="presParOf" srcId="{1F2828FD-EEC8-4B1D-9B90-11A32BC51EF0}" destId="{CFA5D0EC-E9F9-472D-B931-98D48D7D6B6F}" srcOrd="8" destOrd="0" presId="urn:microsoft.com/office/officeart/2005/8/layout/orgChart1"/>
    <dgm:cxn modelId="{51CA7831-6584-4C1C-BDE9-CC484D6DB4B1}" type="presParOf" srcId="{1F2828FD-EEC8-4B1D-9B90-11A32BC51EF0}" destId="{C912C173-CA17-4B11-A3D6-E15D6DCBF9E9}" srcOrd="9" destOrd="0" presId="urn:microsoft.com/office/officeart/2005/8/layout/orgChart1"/>
    <dgm:cxn modelId="{08B8B736-A351-4C83-9DF8-4673FE3B59C2}" type="presParOf" srcId="{C912C173-CA17-4B11-A3D6-E15D6DCBF9E9}" destId="{AB04B214-0262-43BD-932C-AB1E5B4292D0}" srcOrd="0" destOrd="0" presId="urn:microsoft.com/office/officeart/2005/8/layout/orgChart1"/>
    <dgm:cxn modelId="{EAA68D32-9A36-44B7-ABC9-CD54C2EC39A5}" type="presParOf" srcId="{AB04B214-0262-43BD-932C-AB1E5B4292D0}" destId="{3B81453C-AE5C-4764-8528-127B2F4D0C79}" srcOrd="0" destOrd="0" presId="urn:microsoft.com/office/officeart/2005/8/layout/orgChart1"/>
    <dgm:cxn modelId="{1C492163-6F06-492F-8F88-D71E45D1F966}" type="presParOf" srcId="{AB04B214-0262-43BD-932C-AB1E5B4292D0}" destId="{715A8457-C490-472C-ADC2-F1E583E54AE7}" srcOrd="1" destOrd="0" presId="urn:microsoft.com/office/officeart/2005/8/layout/orgChart1"/>
    <dgm:cxn modelId="{063D8097-5123-492A-8146-BC054F595428}" type="presParOf" srcId="{C912C173-CA17-4B11-A3D6-E15D6DCBF9E9}" destId="{5665C09B-22B4-48F7-9127-32A41406EEA2}" srcOrd="1" destOrd="0" presId="urn:microsoft.com/office/officeart/2005/8/layout/orgChart1"/>
    <dgm:cxn modelId="{E12E329E-3B7F-4E91-AF4F-EACFB42AD75B}" type="presParOf" srcId="{C912C173-CA17-4B11-A3D6-E15D6DCBF9E9}" destId="{8E46C203-1076-4EE6-8A30-764E6F5AC2FA}" srcOrd="2" destOrd="0" presId="urn:microsoft.com/office/officeart/2005/8/layout/orgChart1"/>
    <dgm:cxn modelId="{E9AD0720-5801-490A-A884-7445966BA925}" type="presParOf" srcId="{1F2828FD-EEC8-4B1D-9B90-11A32BC51EF0}" destId="{0F7FB4EE-EE7F-432B-B46D-E2600724AA7D}" srcOrd="10" destOrd="0" presId="urn:microsoft.com/office/officeart/2005/8/layout/orgChart1"/>
    <dgm:cxn modelId="{7CAB1D5D-638B-4AFF-AA9C-7950F1E1B780}" type="presParOf" srcId="{1F2828FD-EEC8-4B1D-9B90-11A32BC51EF0}" destId="{A88A61FE-2CA9-456A-B8D6-ECE891C9F072}" srcOrd="11" destOrd="0" presId="urn:microsoft.com/office/officeart/2005/8/layout/orgChart1"/>
    <dgm:cxn modelId="{2F9832D1-CE6A-490D-B6B5-DBDFE71BD4A7}" type="presParOf" srcId="{A88A61FE-2CA9-456A-B8D6-ECE891C9F072}" destId="{7043D5B9-E99F-4CAB-8738-6FDA04F12AB6}" srcOrd="0" destOrd="0" presId="urn:microsoft.com/office/officeart/2005/8/layout/orgChart1"/>
    <dgm:cxn modelId="{3E2EEF40-189B-4050-BB04-A8D21A5496D7}" type="presParOf" srcId="{7043D5B9-E99F-4CAB-8738-6FDA04F12AB6}" destId="{37B45E00-D263-499F-8D86-21794F02252E}" srcOrd="0" destOrd="0" presId="urn:microsoft.com/office/officeart/2005/8/layout/orgChart1"/>
    <dgm:cxn modelId="{91C438BF-F3F0-48FE-A6E0-E2BBA1137A4A}" type="presParOf" srcId="{7043D5B9-E99F-4CAB-8738-6FDA04F12AB6}" destId="{71236207-7073-4AB1-B0BD-317897E9E1FB}" srcOrd="1" destOrd="0" presId="urn:microsoft.com/office/officeart/2005/8/layout/orgChart1"/>
    <dgm:cxn modelId="{CD308922-6C7C-4A98-BD7C-567C54708A5E}" type="presParOf" srcId="{A88A61FE-2CA9-456A-B8D6-ECE891C9F072}" destId="{B4130462-D16F-4F0B-BE5C-3DCB2874943E}" srcOrd="1" destOrd="0" presId="urn:microsoft.com/office/officeart/2005/8/layout/orgChart1"/>
    <dgm:cxn modelId="{C6298CA2-37C5-4D8C-BD7F-A26EF26A17F7}" type="presParOf" srcId="{A88A61FE-2CA9-456A-B8D6-ECE891C9F072}" destId="{2EA1639E-99DF-4052-95BD-D966A30A0BC8}" srcOrd="2" destOrd="0" presId="urn:microsoft.com/office/officeart/2005/8/layout/orgChart1"/>
    <dgm:cxn modelId="{5D991F15-27F0-43DB-825F-EA9F0290F944}" type="presParOf" srcId="{1F2828FD-EEC8-4B1D-9B90-11A32BC51EF0}" destId="{48AB09D7-3B3C-46D9-93A9-A77030653FC6}" srcOrd="12" destOrd="0" presId="urn:microsoft.com/office/officeart/2005/8/layout/orgChart1"/>
    <dgm:cxn modelId="{D15CED7D-85EF-44C8-8109-7E81F322AF2E}" type="presParOf" srcId="{1F2828FD-EEC8-4B1D-9B90-11A32BC51EF0}" destId="{8DCFAAD8-2651-4C0C-8B49-9DEE4B9EBD09}" srcOrd="13" destOrd="0" presId="urn:microsoft.com/office/officeart/2005/8/layout/orgChart1"/>
    <dgm:cxn modelId="{8C813079-7739-424C-B81E-91427CE593FE}" type="presParOf" srcId="{8DCFAAD8-2651-4C0C-8B49-9DEE4B9EBD09}" destId="{23E759FD-EFAA-467F-B8DB-74D8A729FB49}" srcOrd="0" destOrd="0" presId="urn:microsoft.com/office/officeart/2005/8/layout/orgChart1"/>
    <dgm:cxn modelId="{96B4DF4B-8CEC-4438-B918-5F70844DC822}" type="presParOf" srcId="{23E759FD-EFAA-467F-B8DB-74D8A729FB49}" destId="{9507D47E-B424-404C-8CEA-15A01B3AB8BE}" srcOrd="0" destOrd="0" presId="urn:microsoft.com/office/officeart/2005/8/layout/orgChart1"/>
    <dgm:cxn modelId="{1E01603B-BD65-4C6F-96C4-8C8A46D38B51}" type="presParOf" srcId="{23E759FD-EFAA-467F-B8DB-74D8A729FB49}" destId="{72D3A510-B05E-4F98-A7AB-7D37CF2C660B}" srcOrd="1" destOrd="0" presId="urn:microsoft.com/office/officeart/2005/8/layout/orgChart1"/>
    <dgm:cxn modelId="{C8579AB0-470B-4CBE-967E-367C0D39C1DA}" type="presParOf" srcId="{8DCFAAD8-2651-4C0C-8B49-9DEE4B9EBD09}" destId="{4CBC8D6D-40BA-408C-AC6B-09B57CEC0F17}" srcOrd="1" destOrd="0" presId="urn:microsoft.com/office/officeart/2005/8/layout/orgChart1"/>
    <dgm:cxn modelId="{F016AA32-6944-4652-99B4-6F2F8B5FCDD2}" type="presParOf" srcId="{8DCFAAD8-2651-4C0C-8B49-9DEE4B9EBD09}" destId="{5BE9F39F-D4B7-48CE-948D-05EA297CBC32}" srcOrd="2" destOrd="0" presId="urn:microsoft.com/office/officeart/2005/8/layout/orgChart1"/>
    <dgm:cxn modelId="{73B812BA-E334-4576-8F3A-76CCEBE030CF}" type="presParOf" srcId="{87172817-98D6-4EB6-97F2-80EF179CDF6E}" destId="{7CD76230-16F0-4A69-9B80-BB8F5F412C73}" srcOrd="2" destOrd="0" presId="urn:microsoft.com/office/officeart/2005/8/layout/orgChart1"/>
    <dgm:cxn modelId="{1CD68494-6088-4185-BF6A-565E1988BBB3}" type="presParOf" srcId="{BA9A17DF-9917-41C2-9624-D03395E33B18}" destId="{7D56C2A2-A0C4-4E78-BFDF-37C9D35A9FFF}" srcOrd="2" destOrd="0" presId="urn:microsoft.com/office/officeart/2005/8/layout/orgChart1"/>
    <dgm:cxn modelId="{7296D0C9-244C-41C1-AE19-26F401CC0D2D}" type="presParOf" srcId="{BA9A17DF-9917-41C2-9624-D03395E33B18}" destId="{D3E7405A-13B0-4923-BCD9-3B62DA17B6C6}" srcOrd="3" destOrd="0" presId="urn:microsoft.com/office/officeart/2005/8/layout/orgChart1"/>
    <dgm:cxn modelId="{8BB114E3-9641-4CC3-865F-017B68664F03}" type="presParOf" srcId="{D3E7405A-13B0-4923-BCD9-3B62DA17B6C6}" destId="{FE933DC3-50CF-4CA9-B06F-0358A24D1D5D}" srcOrd="0" destOrd="0" presId="urn:microsoft.com/office/officeart/2005/8/layout/orgChart1"/>
    <dgm:cxn modelId="{C4F78779-D3BA-40E6-8624-833C54CB6F7C}" type="presParOf" srcId="{FE933DC3-50CF-4CA9-B06F-0358A24D1D5D}" destId="{CED1C35C-5BEE-47C0-ACEE-C8A777125BD7}" srcOrd="0" destOrd="0" presId="urn:microsoft.com/office/officeart/2005/8/layout/orgChart1"/>
    <dgm:cxn modelId="{3DB9756A-8BAD-493F-A8C5-CF24CF9DF67A}" type="presParOf" srcId="{FE933DC3-50CF-4CA9-B06F-0358A24D1D5D}" destId="{D3FBB99E-409D-44D9-B4BC-3F34A2B787C5}" srcOrd="1" destOrd="0" presId="urn:microsoft.com/office/officeart/2005/8/layout/orgChart1"/>
    <dgm:cxn modelId="{C6CBDBEE-E6ED-4CD7-8A7D-0A23BC1257D5}" type="presParOf" srcId="{D3E7405A-13B0-4923-BCD9-3B62DA17B6C6}" destId="{8C1A6D41-4BE7-4D2F-BA76-7B519FB96D41}" srcOrd="1" destOrd="0" presId="urn:microsoft.com/office/officeart/2005/8/layout/orgChart1"/>
    <dgm:cxn modelId="{B9C4AC80-E41A-4C10-9338-102AB52FF4EC}" type="presParOf" srcId="{D3E7405A-13B0-4923-BCD9-3B62DA17B6C6}" destId="{C193C786-2940-44E4-8871-24B218FBEF38}" srcOrd="2" destOrd="0" presId="urn:microsoft.com/office/officeart/2005/8/layout/orgChart1"/>
    <dgm:cxn modelId="{61FC784B-A759-41E7-8AFF-E32C569F4904}" type="presParOf" srcId="{BA9A17DF-9917-41C2-9624-D03395E33B18}" destId="{58D39051-EB5E-48A8-B986-4D97BE64E513}" srcOrd="4" destOrd="0" presId="urn:microsoft.com/office/officeart/2005/8/layout/orgChart1"/>
    <dgm:cxn modelId="{BFF72201-A695-49B9-B280-F35F51DF387F}" type="presParOf" srcId="{BA9A17DF-9917-41C2-9624-D03395E33B18}" destId="{52AFA797-8566-4CC3-AE13-FB47CEF20336}" srcOrd="5" destOrd="0" presId="urn:microsoft.com/office/officeart/2005/8/layout/orgChart1"/>
    <dgm:cxn modelId="{8865B9E1-BB11-40FF-B289-8C4B12629B9C}" type="presParOf" srcId="{52AFA797-8566-4CC3-AE13-FB47CEF20336}" destId="{24673852-8727-440C-B5E3-4872CE4B51CA}" srcOrd="0" destOrd="0" presId="urn:microsoft.com/office/officeart/2005/8/layout/orgChart1"/>
    <dgm:cxn modelId="{BCBF6EFD-7B44-455A-815C-470D570F918A}" type="presParOf" srcId="{24673852-8727-440C-B5E3-4872CE4B51CA}" destId="{C33FA1EF-6107-451F-98DD-131EA369ED42}" srcOrd="0" destOrd="0" presId="urn:microsoft.com/office/officeart/2005/8/layout/orgChart1"/>
    <dgm:cxn modelId="{B76F1E14-E228-47DA-A96B-37C4461CFA33}" type="presParOf" srcId="{24673852-8727-440C-B5E3-4872CE4B51CA}" destId="{939E23C8-10AE-4903-B77D-E755BB8F8BA7}" srcOrd="1" destOrd="0" presId="urn:microsoft.com/office/officeart/2005/8/layout/orgChart1"/>
    <dgm:cxn modelId="{170C4AD1-8ECC-44BF-9658-43255A27B376}" type="presParOf" srcId="{52AFA797-8566-4CC3-AE13-FB47CEF20336}" destId="{A59CB9BF-72B8-4CFF-A5DB-67C9E4AEB36D}" srcOrd="1" destOrd="0" presId="urn:microsoft.com/office/officeart/2005/8/layout/orgChart1"/>
    <dgm:cxn modelId="{02ECF6E2-887E-4A90-949B-CA34DC6BB411}" type="presParOf" srcId="{52AFA797-8566-4CC3-AE13-FB47CEF20336}" destId="{E158CFEB-D68D-4F19-B894-45796F9D361C}" srcOrd="2" destOrd="0" presId="urn:microsoft.com/office/officeart/2005/8/layout/orgChart1"/>
    <dgm:cxn modelId="{EA3BF897-7170-41BD-AD58-87D7C04BFB8A}" type="presParOf" srcId="{BA9A17DF-9917-41C2-9624-D03395E33B18}" destId="{67A239B1-1C87-455D-AD97-F1F184141030}" srcOrd="6" destOrd="0" presId="urn:microsoft.com/office/officeart/2005/8/layout/orgChart1"/>
    <dgm:cxn modelId="{66D7C5FC-A36E-465E-B4BC-CB05D0C78300}" type="presParOf" srcId="{BA9A17DF-9917-41C2-9624-D03395E33B18}" destId="{2E265E31-EF21-4642-A429-17EC5D24875C}" srcOrd="7" destOrd="0" presId="urn:microsoft.com/office/officeart/2005/8/layout/orgChart1"/>
    <dgm:cxn modelId="{1F726E5A-6F08-4A24-804F-C41C965011D6}" type="presParOf" srcId="{2E265E31-EF21-4642-A429-17EC5D24875C}" destId="{6F97BFEB-1D6D-4B3D-830C-11E6A34D5D51}" srcOrd="0" destOrd="0" presId="urn:microsoft.com/office/officeart/2005/8/layout/orgChart1"/>
    <dgm:cxn modelId="{96490C1C-1C00-4972-B4D4-6BC5831B05A0}" type="presParOf" srcId="{6F97BFEB-1D6D-4B3D-830C-11E6A34D5D51}" destId="{927D1110-9627-4013-B995-032C20684B77}" srcOrd="0" destOrd="0" presId="urn:microsoft.com/office/officeart/2005/8/layout/orgChart1"/>
    <dgm:cxn modelId="{4DC963B0-3CA9-4A6A-8A7A-D27A23019E18}" type="presParOf" srcId="{6F97BFEB-1D6D-4B3D-830C-11E6A34D5D51}" destId="{DE43C67F-1119-4D79-83FA-FF656A43919C}" srcOrd="1" destOrd="0" presId="urn:microsoft.com/office/officeart/2005/8/layout/orgChart1"/>
    <dgm:cxn modelId="{C459CFBE-DD5A-43F9-A1DD-F9C1E83E8C1A}" type="presParOf" srcId="{2E265E31-EF21-4642-A429-17EC5D24875C}" destId="{A817D212-6DE1-4181-A943-F19F2C006E2E}" srcOrd="1" destOrd="0" presId="urn:microsoft.com/office/officeart/2005/8/layout/orgChart1"/>
    <dgm:cxn modelId="{D6FCC738-A2CC-4B8B-9E5C-BADC8490C5AE}" type="presParOf" srcId="{2E265E31-EF21-4642-A429-17EC5D24875C}" destId="{396A082F-0EE5-4603-B169-9BC5519E1C32}" srcOrd="2" destOrd="0" presId="urn:microsoft.com/office/officeart/2005/8/layout/orgChart1"/>
    <dgm:cxn modelId="{19F61245-E6BE-4ED7-8251-DB01E842D009}" type="presParOf" srcId="{BA9A17DF-9917-41C2-9624-D03395E33B18}" destId="{FC9F3623-0C51-4DA1-A486-2E7DF44383B7}" srcOrd="8" destOrd="0" presId="urn:microsoft.com/office/officeart/2005/8/layout/orgChart1"/>
    <dgm:cxn modelId="{6DA07226-52FE-46C9-8DCF-8859C67DA212}" type="presParOf" srcId="{BA9A17DF-9917-41C2-9624-D03395E33B18}" destId="{C00879C7-F8BB-4B9A-9F2D-53C42B20EFA8}" srcOrd="9" destOrd="0" presId="urn:microsoft.com/office/officeart/2005/8/layout/orgChart1"/>
    <dgm:cxn modelId="{92BFD4D2-DFA3-418C-9001-2A5B5D54070A}" type="presParOf" srcId="{C00879C7-F8BB-4B9A-9F2D-53C42B20EFA8}" destId="{D8627897-B558-4D5F-9725-7166E303DEED}" srcOrd="0" destOrd="0" presId="urn:microsoft.com/office/officeart/2005/8/layout/orgChart1"/>
    <dgm:cxn modelId="{2674E641-A4D9-400F-BE66-32B5EB46B157}" type="presParOf" srcId="{D8627897-B558-4D5F-9725-7166E303DEED}" destId="{AD7124AF-0DB0-41FC-8AFB-3E05E65E1EA0}" srcOrd="0" destOrd="0" presId="urn:microsoft.com/office/officeart/2005/8/layout/orgChart1"/>
    <dgm:cxn modelId="{5B0C793F-97A9-45A0-9A14-6C0FD75F443D}" type="presParOf" srcId="{D8627897-B558-4D5F-9725-7166E303DEED}" destId="{F1A16E7C-3438-4359-8551-8F32DAA6F66C}" srcOrd="1" destOrd="0" presId="urn:microsoft.com/office/officeart/2005/8/layout/orgChart1"/>
    <dgm:cxn modelId="{513F1686-D268-4890-9DE4-1B33825C2830}" type="presParOf" srcId="{C00879C7-F8BB-4B9A-9F2D-53C42B20EFA8}" destId="{F96F4E26-CCBF-46FE-A72F-B7D48A6E256D}" srcOrd="1" destOrd="0" presId="urn:microsoft.com/office/officeart/2005/8/layout/orgChart1"/>
    <dgm:cxn modelId="{156C030A-2525-4793-BAE4-77495CF31508}" type="presParOf" srcId="{C00879C7-F8BB-4B9A-9F2D-53C42B20EFA8}" destId="{933CB1BA-19EB-4E89-AD9A-DE2514D6DD42}" srcOrd="2" destOrd="0" presId="urn:microsoft.com/office/officeart/2005/8/layout/orgChart1"/>
    <dgm:cxn modelId="{0AEDFB0A-79EB-4A1C-B732-533D679A02E4}" type="presParOf" srcId="{F1BA5AD5-DC08-4F65-A5CF-22AD835BA5C6}" destId="{CBB286AF-EA8F-4120-A362-D627C318A0BC}" srcOrd="2" destOrd="0" presId="urn:microsoft.com/office/officeart/2005/8/layout/orgChart1"/>
    <dgm:cxn modelId="{1F411B3F-2B10-4AF1-9DE6-117D16CDA0B5}" type="presParOf" srcId="{4B165306-BB8F-4404-A388-16F4052E1F36}" destId="{85FCCAAE-8ED2-45EF-A76C-F3E752E92511}"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F3623-0C51-4DA1-A486-2E7DF44383B7}">
      <dsp:nvSpPr>
        <dsp:cNvPr id="0" name=""/>
        <dsp:cNvSpPr/>
      </dsp:nvSpPr>
      <dsp:spPr>
        <a:xfrm>
          <a:off x="2837398" y="1064229"/>
          <a:ext cx="1852285" cy="845831"/>
        </a:xfrm>
        <a:custGeom>
          <a:avLst/>
          <a:gdLst/>
          <a:ahLst/>
          <a:cxnLst/>
          <a:rect l="0" t="0" r="0" b="0"/>
          <a:pathLst>
            <a:path>
              <a:moveTo>
                <a:pt x="0" y="0"/>
              </a:moveTo>
              <a:lnTo>
                <a:pt x="0" y="845831"/>
              </a:lnTo>
              <a:lnTo>
                <a:pt x="1852285" y="845831"/>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67A239B1-1C87-455D-AD97-F1F184141030}">
      <dsp:nvSpPr>
        <dsp:cNvPr id="0" name=""/>
        <dsp:cNvSpPr/>
      </dsp:nvSpPr>
      <dsp:spPr>
        <a:xfrm>
          <a:off x="2837398" y="1064229"/>
          <a:ext cx="1856475" cy="489105"/>
        </a:xfrm>
        <a:custGeom>
          <a:avLst/>
          <a:gdLst/>
          <a:ahLst/>
          <a:cxnLst/>
          <a:rect l="0" t="0" r="0" b="0"/>
          <a:pathLst>
            <a:path>
              <a:moveTo>
                <a:pt x="0" y="0"/>
              </a:moveTo>
              <a:lnTo>
                <a:pt x="0" y="489105"/>
              </a:lnTo>
              <a:lnTo>
                <a:pt x="1856475" y="489105"/>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58D39051-EB5E-48A8-B986-4D97BE64E513}">
      <dsp:nvSpPr>
        <dsp:cNvPr id="0" name=""/>
        <dsp:cNvSpPr/>
      </dsp:nvSpPr>
      <dsp:spPr>
        <a:xfrm>
          <a:off x="2837398" y="1064229"/>
          <a:ext cx="1856305" cy="1199567"/>
        </a:xfrm>
        <a:custGeom>
          <a:avLst/>
          <a:gdLst/>
          <a:ahLst/>
          <a:cxnLst/>
          <a:rect l="0" t="0" r="0" b="0"/>
          <a:pathLst>
            <a:path>
              <a:moveTo>
                <a:pt x="0" y="0"/>
              </a:moveTo>
              <a:lnTo>
                <a:pt x="0" y="1199567"/>
              </a:lnTo>
              <a:lnTo>
                <a:pt x="1856305" y="1199567"/>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7D56C2A2-A0C4-4E78-BFDF-37C9D35A9FFF}">
      <dsp:nvSpPr>
        <dsp:cNvPr id="0" name=""/>
        <dsp:cNvSpPr/>
      </dsp:nvSpPr>
      <dsp:spPr>
        <a:xfrm>
          <a:off x="2837398" y="1064229"/>
          <a:ext cx="1856475" cy="102212"/>
        </a:xfrm>
        <a:custGeom>
          <a:avLst/>
          <a:gdLst/>
          <a:ahLst/>
          <a:cxnLst/>
          <a:rect l="0" t="0" r="0" b="0"/>
          <a:pathLst>
            <a:path>
              <a:moveTo>
                <a:pt x="0" y="0"/>
              </a:moveTo>
              <a:lnTo>
                <a:pt x="0" y="102212"/>
              </a:lnTo>
              <a:lnTo>
                <a:pt x="1856475" y="102212"/>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48AB09D7-3B3C-46D9-93A9-A77030653FC6}">
      <dsp:nvSpPr>
        <dsp:cNvPr id="0" name=""/>
        <dsp:cNvSpPr/>
      </dsp:nvSpPr>
      <dsp:spPr>
        <a:xfrm>
          <a:off x="1099777" y="2378920"/>
          <a:ext cx="304652" cy="240228"/>
        </a:xfrm>
        <a:custGeom>
          <a:avLst/>
          <a:gdLst/>
          <a:ahLst/>
          <a:cxnLst/>
          <a:rect l="0" t="0" r="0" b="0"/>
          <a:pathLst>
            <a:path>
              <a:moveTo>
                <a:pt x="304652" y="0"/>
              </a:moveTo>
              <a:lnTo>
                <a:pt x="304652" y="186117"/>
              </a:lnTo>
              <a:lnTo>
                <a:pt x="0" y="186117"/>
              </a:lnTo>
              <a:lnTo>
                <a:pt x="0" y="240228"/>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0F7FB4EE-EE7F-432B-B46D-E2600724AA7D}">
      <dsp:nvSpPr>
        <dsp:cNvPr id="0" name=""/>
        <dsp:cNvSpPr/>
      </dsp:nvSpPr>
      <dsp:spPr>
        <a:xfrm>
          <a:off x="1404429" y="2378920"/>
          <a:ext cx="2953757" cy="239912"/>
        </a:xfrm>
        <a:custGeom>
          <a:avLst/>
          <a:gdLst/>
          <a:ahLst/>
          <a:cxnLst/>
          <a:rect l="0" t="0" r="0" b="0"/>
          <a:pathLst>
            <a:path>
              <a:moveTo>
                <a:pt x="0" y="0"/>
              </a:moveTo>
              <a:lnTo>
                <a:pt x="0" y="185800"/>
              </a:lnTo>
              <a:lnTo>
                <a:pt x="2953757" y="185800"/>
              </a:lnTo>
              <a:lnTo>
                <a:pt x="2953757" y="239912"/>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CFA5D0EC-E9F9-472D-B931-98D48D7D6B6F}">
      <dsp:nvSpPr>
        <dsp:cNvPr id="0" name=""/>
        <dsp:cNvSpPr/>
      </dsp:nvSpPr>
      <dsp:spPr>
        <a:xfrm>
          <a:off x="1404429" y="2378920"/>
          <a:ext cx="2267116" cy="241177"/>
        </a:xfrm>
        <a:custGeom>
          <a:avLst/>
          <a:gdLst/>
          <a:ahLst/>
          <a:cxnLst/>
          <a:rect l="0" t="0" r="0" b="0"/>
          <a:pathLst>
            <a:path>
              <a:moveTo>
                <a:pt x="0" y="0"/>
              </a:moveTo>
              <a:lnTo>
                <a:pt x="0" y="187065"/>
              </a:lnTo>
              <a:lnTo>
                <a:pt x="2267116" y="187065"/>
              </a:lnTo>
              <a:lnTo>
                <a:pt x="2267116" y="241177"/>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3C7EFF7C-037F-4BF1-89BD-8F5AD93E01A5}">
      <dsp:nvSpPr>
        <dsp:cNvPr id="0" name=""/>
        <dsp:cNvSpPr/>
      </dsp:nvSpPr>
      <dsp:spPr>
        <a:xfrm>
          <a:off x="1404429" y="2378920"/>
          <a:ext cx="984694" cy="237858"/>
        </a:xfrm>
        <a:custGeom>
          <a:avLst/>
          <a:gdLst/>
          <a:ahLst/>
          <a:cxnLst/>
          <a:rect l="0" t="0" r="0" b="0"/>
          <a:pathLst>
            <a:path>
              <a:moveTo>
                <a:pt x="0" y="0"/>
              </a:moveTo>
              <a:lnTo>
                <a:pt x="0" y="183746"/>
              </a:lnTo>
              <a:lnTo>
                <a:pt x="984694" y="183746"/>
              </a:lnTo>
              <a:lnTo>
                <a:pt x="984694" y="237858"/>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5B1E7A2E-E130-4253-B1FD-9A41FC58F951}">
      <dsp:nvSpPr>
        <dsp:cNvPr id="0" name=""/>
        <dsp:cNvSpPr/>
      </dsp:nvSpPr>
      <dsp:spPr>
        <a:xfrm>
          <a:off x="1404429" y="2378920"/>
          <a:ext cx="345009" cy="239458"/>
        </a:xfrm>
        <a:custGeom>
          <a:avLst/>
          <a:gdLst/>
          <a:ahLst/>
          <a:cxnLst/>
          <a:rect l="0" t="0" r="0" b="0"/>
          <a:pathLst>
            <a:path>
              <a:moveTo>
                <a:pt x="0" y="0"/>
              </a:moveTo>
              <a:lnTo>
                <a:pt x="0" y="185347"/>
              </a:lnTo>
              <a:lnTo>
                <a:pt x="345009" y="185347"/>
              </a:lnTo>
              <a:lnTo>
                <a:pt x="345009" y="239458"/>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C4527DC5-2A01-4007-A7F8-C8099E1709B0}">
      <dsp:nvSpPr>
        <dsp:cNvPr id="0" name=""/>
        <dsp:cNvSpPr/>
      </dsp:nvSpPr>
      <dsp:spPr>
        <a:xfrm>
          <a:off x="1404429" y="2378920"/>
          <a:ext cx="1624144" cy="237175"/>
        </a:xfrm>
        <a:custGeom>
          <a:avLst/>
          <a:gdLst/>
          <a:ahLst/>
          <a:cxnLst/>
          <a:rect l="0" t="0" r="0" b="0"/>
          <a:pathLst>
            <a:path>
              <a:moveTo>
                <a:pt x="0" y="0"/>
              </a:moveTo>
              <a:lnTo>
                <a:pt x="0" y="183064"/>
              </a:lnTo>
              <a:lnTo>
                <a:pt x="1624144" y="183064"/>
              </a:lnTo>
              <a:lnTo>
                <a:pt x="1624144" y="237175"/>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7302F37A-2871-449C-8D36-2AE2DCF2D38F}">
      <dsp:nvSpPr>
        <dsp:cNvPr id="0" name=""/>
        <dsp:cNvSpPr/>
      </dsp:nvSpPr>
      <dsp:spPr>
        <a:xfrm>
          <a:off x="402785" y="2378920"/>
          <a:ext cx="1001643" cy="241945"/>
        </a:xfrm>
        <a:custGeom>
          <a:avLst/>
          <a:gdLst/>
          <a:ahLst/>
          <a:cxnLst/>
          <a:rect l="0" t="0" r="0" b="0"/>
          <a:pathLst>
            <a:path>
              <a:moveTo>
                <a:pt x="1001643" y="0"/>
              </a:moveTo>
              <a:lnTo>
                <a:pt x="1001643" y="187833"/>
              </a:lnTo>
              <a:lnTo>
                <a:pt x="0" y="187833"/>
              </a:lnTo>
              <a:lnTo>
                <a:pt x="0" y="241945"/>
              </a:lnTo>
            </a:path>
          </a:pathLst>
        </a:custGeom>
        <a:noFill/>
        <a:ln w="3175" cap="flat" cmpd="sng" algn="ctr">
          <a:solidFill>
            <a:sysClr val="windowText" lastClr="000000"/>
          </a:solidFill>
          <a:prstDash val="solid"/>
          <a:tailEnd type="triangle" w="sm" len="sm"/>
        </a:ln>
        <a:effectLst/>
      </dsp:spPr>
      <dsp:style>
        <a:lnRef idx="2">
          <a:scrgbClr r="0" g="0" b="0"/>
        </a:lnRef>
        <a:fillRef idx="0">
          <a:scrgbClr r="0" g="0" b="0"/>
        </a:fillRef>
        <a:effectRef idx="0">
          <a:scrgbClr r="0" g="0" b="0"/>
        </a:effectRef>
        <a:fontRef idx="minor"/>
      </dsp:style>
    </dsp:sp>
    <dsp:sp modelId="{926A62B6-A138-43E6-B3BB-F3E15043B840}">
      <dsp:nvSpPr>
        <dsp:cNvPr id="0" name=""/>
        <dsp:cNvSpPr/>
      </dsp:nvSpPr>
      <dsp:spPr>
        <a:xfrm>
          <a:off x="1941699" y="1064229"/>
          <a:ext cx="895698" cy="1197565"/>
        </a:xfrm>
        <a:custGeom>
          <a:avLst/>
          <a:gdLst/>
          <a:ahLst/>
          <a:cxnLst/>
          <a:rect l="0" t="0" r="0" b="0"/>
          <a:pathLst>
            <a:path>
              <a:moveTo>
                <a:pt x="895698" y="0"/>
              </a:moveTo>
              <a:lnTo>
                <a:pt x="895698" y="1197565"/>
              </a:lnTo>
              <a:lnTo>
                <a:pt x="0" y="1197565"/>
              </a:lnTo>
            </a:path>
          </a:pathLst>
        </a:custGeom>
        <a:noFill/>
        <a:ln w="3175" cap="flat" cmpd="sng" algn="ctr">
          <a:solidFill>
            <a:sysClr val="windowText" lastClr="000000"/>
          </a:solidFill>
          <a:prstDash val="solid"/>
          <a:headEnd w="sm" len="sm"/>
          <a:tailEnd type="triangle" w="sm" len="sm"/>
        </a:ln>
        <a:effectLst/>
      </dsp:spPr>
      <dsp:style>
        <a:lnRef idx="2">
          <a:scrgbClr r="0" g="0" b="0"/>
        </a:lnRef>
        <a:fillRef idx="0">
          <a:scrgbClr r="0" g="0" b="0"/>
        </a:fillRef>
        <a:effectRef idx="0">
          <a:scrgbClr r="0" g="0" b="0"/>
        </a:effectRef>
        <a:fontRef idx="minor"/>
      </dsp:style>
    </dsp:sp>
    <dsp:sp modelId="{F38E90B9-29B1-47BF-912B-146610D9A7BF}">
      <dsp:nvSpPr>
        <dsp:cNvPr id="0" name=""/>
        <dsp:cNvSpPr/>
      </dsp:nvSpPr>
      <dsp:spPr>
        <a:xfrm>
          <a:off x="2791678" y="739856"/>
          <a:ext cx="91440" cy="91440"/>
        </a:xfrm>
        <a:custGeom>
          <a:avLst/>
          <a:gdLst/>
          <a:ahLst/>
          <a:cxnLst/>
          <a:rect l="0" t="0" r="0" b="0"/>
          <a:pathLst>
            <a:path>
              <a:moveTo>
                <a:pt x="45786" y="45720"/>
              </a:moveTo>
              <a:lnTo>
                <a:pt x="45786" y="76666"/>
              </a:lnTo>
              <a:lnTo>
                <a:pt x="45720" y="76666"/>
              </a:lnTo>
              <a:lnTo>
                <a:pt x="45720" y="130778"/>
              </a:lnTo>
            </a:path>
          </a:pathLst>
        </a:custGeom>
        <a:noFill/>
        <a:ln w="3175" cap="flat" cmpd="sng" algn="ctr">
          <a:solidFill>
            <a:scrgbClr r="0" g="0" b="0"/>
          </a:solidFill>
          <a:prstDash val="solid"/>
          <a:tailEnd type="triangle" w="sm" len="sm"/>
        </a:ln>
        <a:effectLst/>
      </dsp:spPr>
      <dsp:style>
        <a:lnRef idx="2">
          <a:scrgbClr r="0" g="0" b="0"/>
        </a:lnRef>
        <a:fillRef idx="0">
          <a:scrgbClr r="0" g="0" b="0"/>
        </a:fillRef>
        <a:effectRef idx="0">
          <a:scrgbClr r="0" g="0" b="0"/>
        </a:effectRef>
        <a:fontRef idx="minor"/>
      </dsp:style>
    </dsp:sp>
    <dsp:sp modelId="{28C0602B-2C87-4861-90B6-0B5DB7FBF216}">
      <dsp:nvSpPr>
        <dsp:cNvPr id="0" name=""/>
        <dsp:cNvSpPr/>
      </dsp:nvSpPr>
      <dsp:spPr>
        <a:xfrm>
          <a:off x="2791745" y="314313"/>
          <a:ext cx="91440" cy="91440"/>
        </a:xfrm>
        <a:custGeom>
          <a:avLst/>
          <a:gdLst/>
          <a:ahLst/>
          <a:cxnLst/>
          <a:rect l="0" t="0" r="0" b="0"/>
          <a:pathLst>
            <a:path>
              <a:moveTo>
                <a:pt x="47152" y="45720"/>
              </a:moveTo>
              <a:lnTo>
                <a:pt x="47152" y="74185"/>
              </a:lnTo>
              <a:lnTo>
                <a:pt x="45720" y="74185"/>
              </a:lnTo>
              <a:lnTo>
                <a:pt x="45720" y="128296"/>
              </a:lnTo>
            </a:path>
          </a:pathLst>
        </a:custGeom>
        <a:noFill/>
        <a:ln w="3175" cap="flat" cmpd="sng" algn="ctr">
          <a:solidFill>
            <a:scrgbClr r="0" g="0" b="0"/>
          </a:solidFill>
          <a:prstDash val="solid"/>
          <a:tailEnd type="triangle" w="sm" len="sm"/>
        </a:ln>
        <a:effectLst/>
      </dsp:spPr>
      <dsp:style>
        <a:lnRef idx="2">
          <a:scrgbClr r="0" g="0" b="0"/>
        </a:lnRef>
        <a:fillRef idx="0">
          <a:scrgbClr r="0" g="0" b="0"/>
        </a:fillRef>
        <a:effectRef idx="0">
          <a:scrgbClr r="0" g="0" b="0"/>
        </a:effectRef>
        <a:fontRef idx="minor"/>
      </dsp:style>
    </dsp:sp>
    <dsp:sp modelId="{D8AC9327-A1CD-4564-BC94-649FD929C1EF}">
      <dsp:nvSpPr>
        <dsp:cNvPr id="0" name=""/>
        <dsp:cNvSpPr/>
      </dsp:nvSpPr>
      <dsp:spPr>
        <a:xfrm>
          <a:off x="2286551" y="125782"/>
          <a:ext cx="1104692" cy="234250"/>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Department of Socal Services</a:t>
          </a:r>
        </a:p>
      </dsp:txBody>
      <dsp:txXfrm>
        <a:off x="2286551" y="125782"/>
        <a:ext cx="1104692" cy="234250"/>
      </dsp:txXfrm>
    </dsp:sp>
    <dsp:sp modelId="{84952F64-08B5-4089-9533-5E3CF3B90E25}">
      <dsp:nvSpPr>
        <dsp:cNvPr id="0" name=""/>
        <dsp:cNvSpPr/>
      </dsp:nvSpPr>
      <dsp:spPr>
        <a:xfrm>
          <a:off x="2285118" y="442610"/>
          <a:ext cx="1104692" cy="342965"/>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Families and Communities</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Outcome 2</a:t>
          </a:r>
        </a:p>
      </dsp:txBody>
      <dsp:txXfrm>
        <a:off x="2285118" y="442610"/>
        <a:ext cx="1104692" cy="342965"/>
      </dsp:txXfrm>
    </dsp:sp>
    <dsp:sp modelId="{98C8D6F5-283D-4DE4-950F-4DEB97D2DA40}">
      <dsp:nvSpPr>
        <dsp:cNvPr id="0" name=""/>
        <dsp:cNvSpPr/>
      </dsp:nvSpPr>
      <dsp:spPr>
        <a:xfrm>
          <a:off x="2285051" y="870634"/>
          <a:ext cx="1104692" cy="193595"/>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Settlement Services</a:t>
          </a:r>
        </a:p>
      </dsp:txBody>
      <dsp:txXfrm>
        <a:off x="2285051" y="870634"/>
        <a:ext cx="1104692" cy="193595"/>
      </dsp:txXfrm>
    </dsp:sp>
    <dsp:sp modelId="{A433EEF3-4D1F-4EEC-BC38-9A370736E56F}">
      <dsp:nvSpPr>
        <dsp:cNvPr id="0" name=""/>
        <dsp:cNvSpPr/>
      </dsp:nvSpPr>
      <dsp:spPr>
        <a:xfrm>
          <a:off x="867159" y="2144669"/>
          <a:ext cx="1074539" cy="234250"/>
        </a:xfrm>
        <a:prstGeom prst="rect">
          <a:avLst/>
        </a:prstGeom>
        <a:solidFill>
          <a:srgbClr val="136B87"/>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Grants for Community Settlement</a:t>
          </a:r>
        </a:p>
      </dsp:txBody>
      <dsp:txXfrm>
        <a:off x="867159" y="2144669"/>
        <a:ext cx="1074539" cy="234250"/>
      </dsp:txXfrm>
    </dsp:sp>
    <dsp:sp modelId="{21F10632-2E2B-4504-888D-F948CF31FD56}">
      <dsp:nvSpPr>
        <dsp:cNvPr id="0" name=""/>
        <dsp:cNvSpPr/>
      </dsp:nvSpPr>
      <dsp:spPr>
        <a:xfrm>
          <a:off x="105435" y="2620865"/>
          <a:ext cx="594700" cy="763414"/>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Settlement Engagement and Transition Support - Client Services</a:t>
          </a:r>
        </a:p>
      </dsp:txBody>
      <dsp:txXfrm>
        <a:off x="105435" y="2620865"/>
        <a:ext cx="594700" cy="763414"/>
      </dsp:txXfrm>
    </dsp:sp>
    <dsp:sp modelId="{E189EE17-CFAF-4B64-8D9B-00B321294134}">
      <dsp:nvSpPr>
        <dsp:cNvPr id="0" name=""/>
        <dsp:cNvSpPr/>
      </dsp:nvSpPr>
      <dsp:spPr>
        <a:xfrm>
          <a:off x="2763579" y="2616096"/>
          <a:ext cx="529987" cy="358506"/>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Youth Transition Support (YTS)</a:t>
          </a:r>
        </a:p>
      </dsp:txBody>
      <dsp:txXfrm>
        <a:off x="2763579" y="2616096"/>
        <a:ext cx="529987" cy="358506"/>
      </dsp:txXfrm>
    </dsp:sp>
    <dsp:sp modelId="{9A9EA894-6A88-4C41-AB85-A66CFBB2A188}">
      <dsp:nvSpPr>
        <dsp:cNvPr id="0" name=""/>
        <dsp:cNvSpPr/>
      </dsp:nvSpPr>
      <dsp:spPr>
        <a:xfrm>
          <a:off x="1476150" y="2618379"/>
          <a:ext cx="546576" cy="356514"/>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Peak Bodies - Settlement Services</a:t>
          </a:r>
        </a:p>
      </dsp:txBody>
      <dsp:txXfrm>
        <a:off x="1476150" y="2618379"/>
        <a:ext cx="546576" cy="356514"/>
      </dsp:txXfrm>
    </dsp:sp>
    <dsp:sp modelId="{0541663A-E6ED-469D-8AAE-0CF20E78670B}">
      <dsp:nvSpPr>
        <dsp:cNvPr id="0" name=""/>
        <dsp:cNvSpPr/>
      </dsp:nvSpPr>
      <dsp:spPr>
        <a:xfrm>
          <a:off x="2111624" y="2616778"/>
          <a:ext cx="554997" cy="329100"/>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Career Pathways Pilot</a:t>
          </a:r>
        </a:p>
      </dsp:txBody>
      <dsp:txXfrm>
        <a:off x="2111624" y="2616778"/>
        <a:ext cx="554997" cy="329100"/>
      </dsp:txXfrm>
    </dsp:sp>
    <dsp:sp modelId="{3B81453C-AE5C-4764-8528-127B2F4D0C79}">
      <dsp:nvSpPr>
        <dsp:cNvPr id="0" name=""/>
        <dsp:cNvSpPr/>
      </dsp:nvSpPr>
      <dsp:spPr>
        <a:xfrm>
          <a:off x="3391983" y="2620097"/>
          <a:ext cx="559125" cy="456427"/>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National Community Hubs Program</a:t>
          </a:r>
        </a:p>
      </dsp:txBody>
      <dsp:txXfrm>
        <a:off x="3391983" y="2620097"/>
        <a:ext cx="559125" cy="456427"/>
      </dsp:txXfrm>
    </dsp:sp>
    <dsp:sp modelId="{37B45E00-D263-499F-8D86-21794F02252E}">
      <dsp:nvSpPr>
        <dsp:cNvPr id="0" name=""/>
        <dsp:cNvSpPr/>
      </dsp:nvSpPr>
      <dsp:spPr>
        <a:xfrm>
          <a:off x="4054848" y="2618832"/>
          <a:ext cx="606676" cy="669054"/>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National Accreditation Authority for Translators and Interpreters</a:t>
          </a:r>
        </a:p>
      </dsp:txBody>
      <dsp:txXfrm>
        <a:off x="4054848" y="2618832"/>
        <a:ext cx="606676" cy="669054"/>
      </dsp:txXfrm>
    </dsp:sp>
    <dsp:sp modelId="{9507D47E-B424-404C-8CEA-15A01B3AB8BE}">
      <dsp:nvSpPr>
        <dsp:cNvPr id="0" name=""/>
        <dsp:cNvSpPr/>
      </dsp:nvSpPr>
      <dsp:spPr>
        <a:xfrm>
          <a:off x="813847" y="2619149"/>
          <a:ext cx="571859" cy="826407"/>
        </a:xfrm>
        <a:prstGeom prst="rect">
          <a:avLst/>
        </a:prstGeom>
        <a:solidFill>
          <a:srgbClr val="1889AC"/>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Settlement Engagement and Transition Support - Community Capacity Building</a:t>
          </a:r>
        </a:p>
      </dsp:txBody>
      <dsp:txXfrm>
        <a:off x="813847" y="2619149"/>
        <a:ext cx="571859" cy="826407"/>
      </dsp:txXfrm>
    </dsp:sp>
    <dsp:sp modelId="{CED1C35C-5BEE-47C0-ACEE-C8A777125BD7}">
      <dsp:nvSpPr>
        <dsp:cNvPr id="0" name=""/>
        <dsp:cNvSpPr/>
      </dsp:nvSpPr>
      <dsp:spPr>
        <a:xfrm>
          <a:off x="4693873" y="1024720"/>
          <a:ext cx="948877" cy="283443"/>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Humanitarian Settlement Program</a:t>
          </a:r>
        </a:p>
      </dsp:txBody>
      <dsp:txXfrm>
        <a:off x="4693873" y="1024720"/>
        <a:ext cx="948877" cy="283443"/>
      </dsp:txXfrm>
    </dsp:sp>
    <dsp:sp modelId="{C33FA1EF-6107-451F-98DD-131EA369ED42}">
      <dsp:nvSpPr>
        <dsp:cNvPr id="0" name=""/>
        <dsp:cNvSpPr/>
      </dsp:nvSpPr>
      <dsp:spPr>
        <a:xfrm>
          <a:off x="4693703" y="2142666"/>
          <a:ext cx="950969" cy="242262"/>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Free Translating Services</a:t>
          </a:r>
        </a:p>
      </dsp:txBody>
      <dsp:txXfrm>
        <a:off x="4693703" y="2142666"/>
        <a:ext cx="950969" cy="242262"/>
      </dsp:txXfrm>
    </dsp:sp>
    <dsp:sp modelId="{927D1110-9627-4013-B995-032C20684B77}">
      <dsp:nvSpPr>
        <dsp:cNvPr id="0" name=""/>
        <dsp:cNvSpPr/>
      </dsp:nvSpPr>
      <dsp:spPr>
        <a:xfrm>
          <a:off x="4693873" y="1424495"/>
          <a:ext cx="948882" cy="257678"/>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The Australian Cultural Orientation Program</a:t>
          </a:r>
        </a:p>
      </dsp:txBody>
      <dsp:txXfrm>
        <a:off x="4693873" y="1424495"/>
        <a:ext cx="948882" cy="257678"/>
      </dsp:txXfrm>
    </dsp:sp>
    <dsp:sp modelId="{AD7124AF-0DB0-41FC-8AFB-3E05E65E1EA0}">
      <dsp:nvSpPr>
        <dsp:cNvPr id="0" name=""/>
        <dsp:cNvSpPr/>
      </dsp:nvSpPr>
      <dsp:spPr>
        <a:xfrm>
          <a:off x="4689683" y="1792933"/>
          <a:ext cx="952350" cy="234253"/>
        </a:xfrm>
        <a:prstGeom prst="rect">
          <a:avLst/>
        </a:prstGeom>
        <a:solidFill>
          <a:srgbClr val="0070C0"/>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Free Interpreting Services</a:t>
          </a:r>
        </a:p>
      </dsp:txBody>
      <dsp:txXfrm>
        <a:off x="4689683" y="1792933"/>
        <a:ext cx="952350" cy="2342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Info xmlns="http://schemas.microsoft.com/office/infopath/2007/PartnerControls">
          <TermName xmlns="http://schemas.microsoft.com/office/infopath/2007/PartnerControls">Department of Finance</TermName>
          <TermId xmlns="http://schemas.microsoft.com/office/infopath/2007/PartnerControls">3a3ebec4-99c4-4632-8356-56807d8710f5</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83</Value>
      <Value>82</Value>
      <Value>8319</Value>
      <Value>3</Value>
      <Value>70</Value>
      <Value>222</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YZXQVS7QACYM-1541955987-285</_dlc_DocId>
    <_dlc_DocIdUrl xmlns="2a251b7e-61e4-4816-a71f-b295a9ad20fb">
      <Url>http://dochub/div/ausindustry/businessfunctions/programmedesign/resources/_layouts/15/DocIdRedir.aspx?ID=YZXQVS7QACYM-1541955987-285</Url>
      <Description>YZXQVS7QACYM-1541955987-285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13BA494A802541AA6CFA6537C14A2D" ma:contentTypeVersion="13" ma:contentTypeDescription="Create a new document." ma:contentTypeScope="" ma:versionID="925709aa1740526b8597967859d1048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c2bb6c521948af5a7674be59b69ca01"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9F6E2E88-EE6C-43C6-86B9-33AC0BB14B7F}">
  <ds:schemaRefs>
    <ds:schemaRef ds:uri="http://schemas.microsoft.com/office/2006/metadata/properties"/>
    <ds:schemaRef ds:uri="http://schemas.microsoft.com/office/infopath/2007/PartnerControls"/>
    <ds:schemaRef ds:uri="2a251b7e-61e4-4816-a71f-b295a9ad20fb"/>
    <ds:schemaRef ds:uri="http://schemas.microsoft.com/sharepoint/v3"/>
  </ds:schemaRefs>
</ds:datastoreItem>
</file>

<file path=customXml/itemProps3.xml><?xml version="1.0" encoding="utf-8"?>
<ds:datastoreItem xmlns:ds="http://schemas.openxmlformats.org/officeDocument/2006/customXml" ds:itemID="{F316FBBD-2B00-43E7-A80A-F10E2D8A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B8CC97B5-29FA-47AA-915B-84F4DDF339DA}">
  <ds:schemaRefs>
    <ds:schemaRef ds:uri="http://schemas.microsoft.com/sharepoint/events"/>
  </ds:schemaRefs>
</ds:datastoreItem>
</file>

<file path=customXml/itemProps6.xml><?xml version="1.0" encoding="utf-8"?>
<ds:datastoreItem xmlns:ds="http://schemas.openxmlformats.org/officeDocument/2006/customXml" ds:itemID="{D85DD21A-6C0E-4E9D-802B-0160AEF61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39</Pages>
  <Words>13522</Words>
  <Characters>77079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HUB MASTER TEMPLATE V1 December 2018 [Grant opportunity name] Guidelines</vt:lpstr>
    </vt:vector>
  </TitlesOfParts>
  <Company>Industry</Company>
  <LinksUpToDate>false</LinksUpToDate>
  <CharactersWithSpaces>90421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HUB MASTER TEMPLATE V1 December 2018 [Grant opportunity name] Guidelines</dc:title>
  <dc:subject/>
  <dc:creator>BOTTCHER, Sarah</dc:creator>
  <cp:keywords/>
  <dc:description/>
  <cp:lastModifiedBy>FELSTEAD, Annie</cp:lastModifiedBy>
  <cp:revision>4</cp:revision>
  <cp:lastPrinted>2019-03-29T04:49:00Z</cp:lastPrinted>
  <dcterms:created xsi:type="dcterms:W3CDTF">2019-03-29T03:59:00Z</dcterms:created>
  <dcterms:modified xsi:type="dcterms:W3CDTF">2019-03-29T04:49:00Z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0x0101006713BA494A802541AA6CFA6537C14A2D</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Order">
    <vt:r8>2100</vt:r8>
  </property>
  <property fmtid="{D5CDD505-2E9C-101B-9397-08002B2CF9AE}" pid="13" name="DocHub_Year">
    <vt:lpwstr>222;#2017|5f6de30b-6e1e-4c09-9e51-982258231536</vt:lpwstr>
  </property>
  <property fmtid="{D5CDD505-2E9C-101B-9397-08002B2CF9AE}" pid="14" name="DocHub_DocumentType">
    <vt:lpwstr>82;#Template|9b48ba34-650a-488d-9fe8-e5181e10b797</vt:lpwstr>
  </property>
  <property fmtid="{D5CDD505-2E9C-101B-9397-08002B2CF9AE}" pid="15" name="DocHub_SecurityClassification">
    <vt:lpwstr>3;#UNCLASSIFIED|6106d03b-a1a0-4e30-9d91-d5e9fb4314f9</vt:lpwstr>
  </property>
  <property fmtid="{D5CDD505-2E9C-101B-9397-08002B2CF9AE}" pid="16" name="DocHub_Keywords">
    <vt:lpwstr>70;#Business Grants Hub|1ef0944f-fc0a-410e-86f5-2043b43abc96;#8319;#Department of Finance|3a3ebec4-99c4-4632-8356-56807d8710f5</vt:lpwstr>
  </property>
  <property fmtid="{D5CDD505-2E9C-101B-9397-08002B2CF9AE}" pid="17" name="DocHub_WorkActivity">
    <vt:lpwstr>83;#Programme Management|e917d196-d1dd-46ca-8880-b205532cede6</vt:lpwstr>
  </property>
  <property fmtid="{D5CDD505-2E9C-101B-9397-08002B2CF9AE}" pid="18" name="_dlc_DocIdItemGuid">
    <vt:lpwstr>127f48fa-ea4c-4383-9ae5-7511171e77d1</vt:lpwstr>
  </property>
</Properties>
</file>